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43C66">
      <w:pPr>
        <w:wordWrap w:val="0"/>
        <w:spacing w:after="120" w:afterLines="50" w:line="500" w:lineRule="exact"/>
        <w:jc w:val="center"/>
        <w:rPr>
          <w:rFonts w:ascii="方正小标宋_GBK" w:hAnsi="仿宋" w:eastAsia="方正小标宋_GBK" w:cs="仿宋"/>
          <w:sz w:val="44"/>
          <w:szCs w:val="44"/>
        </w:rPr>
      </w:pPr>
      <w:r>
        <w:rPr>
          <w:rFonts w:hint="eastAsia" w:ascii="方正小标宋_GBK" w:hAnsi="仿宋" w:eastAsia="方正小标宋_GBK" w:cs="仿宋"/>
          <w:sz w:val="44"/>
          <w:szCs w:val="44"/>
        </w:rPr>
        <w:t>评分标准</w:t>
      </w:r>
    </w:p>
    <w:tbl>
      <w:tblPr>
        <w:tblStyle w:val="28"/>
        <w:tblW w:w="10053" w:type="dxa"/>
        <w:jc w:val="center"/>
        <w:tblLayout w:type="fixed"/>
        <w:tblCellMar>
          <w:top w:w="0" w:type="dxa"/>
          <w:left w:w="108" w:type="dxa"/>
          <w:bottom w:w="0" w:type="dxa"/>
          <w:right w:w="108" w:type="dxa"/>
        </w:tblCellMar>
      </w:tblPr>
      <w:tblGrid>
        <w:gridCol w:w="928"/>
        <w:gridCol w:w="1218"/>
        <w:gridCol w:w="549"/>
        <w:gridCol w:w="263"/>
        <w:gridCol w:w="7095"/>
      </w:tblGrid>
      <w:tr w14:paraId="4EDB5CAC">
        <w:tblPrEx>
          <w:tblCellMar>
            <w:top w:w="0" w:type="dxa"/>
            <w:left w:w="108" w:type="dxa"/>
            <w:bottom w:w="0" w:type="dxa"/>
            <w:right w:w="108" w:type="dxa"/>
          </w:tblCellMar>
        </w:tblPrEx>
        <w:trPr>
          <w:cantSplit/>
          <w:trHeight w:val="286" w:hRule="atLeast"/>
          <w:jc w:val="center"/>
        </w:trPr>
        <w:tc>
          <w:tcPr>
            <w:tcW w:w="2695" w:type="dxa"/>
            <w:gridSpan w:val="3"/>
            <w:tcBorders>
              <w:top w:val="single" w:color="auto" w:sz="12" w:space="0"/>
              <w:left w:val="single" w:color="auto" w:sz="8" w:space="0"/>
              <w:bottom w:val="single" w:color="auto" w:sz="8" w:space="0"/>
              <w:right w:val="single" w:color="auto" w:sz="8" w:space="0"/>
            </w:tcBorders>
            <w:vAlign w:val="center"/>
          </w:tcPr>
          <w:p w14:paraId="13718F8E">
            <w:pPr>
              <w:wordWrap w:val="0"/>
              <w:spacing w:line="460" w:lineRule="exact"/>
              <w:jc w:val="center"/>
              <w:rPr>
                <w:rFonts w:ascii="仿宋" w:hAnsi="仿宋" w:eastAsia="仿宋" w:cs="仿宋"/>
                <w:b/>
                <w:bCs/>
                <w:sz w:val="24"/>
              </w:rPr>
            </w:pPr>
            <w:r>
              <w:rPr>
                <w:rFonts w:hint="eastAsia" w:ascii="仿宋" w:hAnsi="仿宋" w:eastAsia="仿宋" w:cs="仿宋"/>
                <w:b/>
                <w:bCs/>
                <w:sz w:val="24"/>
              </w:rPr>
              <w:t>条款内容</w:t>
            </w:r>
          </w:p>
        </w:tc>
        <w:tc>
          <w:tcPr>
            <w:tcW w:w="7358" w:type="dxa"/>
            <w:gridSpan w:val="2"/>
            <w:tcBorders>
              <w:top w:val="single" w:color="auto" w:sz="12" w:space="0"/>
              <w:left w:val="single" w:color="auto" w:sz="8" w:space="0"/>
              <w:bottom w:val="single" w:color="auto" w:sz="8" w:space="0"/>
              <w:right w:val="single" w:color="auto" w:sz="12" w:space="0"/>
            </w:tcBorders>
            <w:vAlign w:val="center"/>
          </w:tcPr>
          <w:p w14:paraId="069CF7CE">
            <w:pPr>
              <w:wordWrap w:val="0"/>
              <w:spacing w:line="460" w:lineRule="exact"/>
              <w:jc w:val="center"/>
              <w:rPr>
                <w:rFonts w:ascii="仿宋" w:hAnsi="仿宋" w:eastAsia="仿宋" w:cs="仿宋"/>
                <w:b/>
                <w:bCs/>
                <w:sz w:val="24"/>
              </w:rPr>
            </w:pPr>
            <w:r>
              <w:rPr>
                <w:rFonts w:hint="eastAsia" w:ascii="仿宋" w:hAnsi="仿宋" w:eastAsia="仿宋" w:cs="仿宋"/>
                <w:b/>
                <w:bCs/>
                <w:sz w:val="24"/>
              </w:rPr>
              <w:t>编列内容</w:t>
            </w:r>
          </w:p>
        </w:tc>
      </w:tr>
      <w:tr w14:paraId="416CDBE3">
        <w:tblPrEx>
          <w:tblCellMar>
            <w:top w:w="0" w:type="dxa"/>
            <w:left w:w="108" w:type="dxa"/>
            <w:bottom w:w="0" w:type="dxa"/>
            <w:right w:w="108" w:type="dxa"/>
          </w:tblCellMar>
        </w:tblPrEx>
        <w:trPr>
          <w:cantSplit/>
          <w:trHeight w:val="438" w:hRule="atLeast"/>
          <w:jc w:val="center"/>
        </w:trPr>
        <w:tc>
          <w:tcPr>
            <w:tcW w:w="2695" w:type="dxa"/>
            <w:gridSpan w:val="3"/>
            <w:vMerge w:val="restart"/>
            <w:tcBorders>
              <w:top w:val="single" w:color="auto" w:sz="8" w:space="0"/>
              <w:left w:val="single" w:color="auto" w:sz="8" w:space="0"/>
              <w:bottom w:val="single" w:color="auto" w:sz="8" w:space="0"/>
              <w:right w:val="single" w:color="auto" w:sz="8" w:space="0"/>
            </w:tcBorders>
            <w:vAlign w:val="center"/>
          </w:tcPr>
          <w:p w14:paraId="352B1C46">
            <w:pPr>
              <w:wordWrap w:val="0"/>
              <w:spacing w:line="300" w:lineRule="exact"/>
              <w:jc w:val="center"/>
              <w:rPr>
                <w:rFonts w:ascii="仿宋" w:hAnsi="仿宋" w:eastAsia="仿宋" w:cs="仿宋"/>
                <w:sz w:val="24"/>
              </w:rPr>
            </w:pPr>
            <w:r>
              <w:rPr>
                <w:rFonts w:hint="eastAsia" w:ascii="仿宋" w:hAnsi="仿宋" w:eastAsia="仿宋" w:cs="仿宋"/>
                <w:sz w:val="24"/>
              </w:rPr>
              <w:t>分值构成</w:t>
            </w:r>
          </w:p>
          <w:p w14:paraId="51E877BB">
            <w:pPr>
              <w:wordWrap w:val="0"/>
              <w:spacing w:line="300" w:lineRule="exact"/>
              <w:jc w:val="center"/>
              <w:rPr>
                <w:rFonts w:ascii="仿宋" w:hAnsi="仿宋" w:eastAsia="仿宋" w:cs="仿宋"/>
                <w:sz w:val="24"/>
              </w:rPr>
            </w:pPr>
            <w:r>
              <w:rPr>
                <w:rFonts w:hint="eastAsia" w:ascii="仿宋" w:hAnsi="仿宋" w:eastAsia="仿宋" w:cs="仿宋"/>
                <w:sz w:val="24"/>
              </w:rPr>
              <w:t>（满分100分）</w:t>
            </w:r>
          </w:p>
        </w:tc>
        <w:tc>
          <w:tcPr>
            <w:tcW w:w="7358" w:type="dxa"/>
            <w:gridSpan w:val="2"/>
            <w:tcBorders>
              <w:top w:val="single" w:color="auto" w:sz="8" w:space="0"/>
              <w:left w:val="single" w:color="auto" w:sz="8" w:space="0"/>
              <w:bottom w:val="single" w:color="auto" w:sz="8" w:space="0"/>
              <w:right w:val="single" w:color="auto" w:sz="12" w:space="0"/>
            </w:tcBorders>
            <w:vAlign w:val="center"/>
          </w:tcPr>
          <w:p w14:paraId="5E4613A7">
            <w:pPr>
              <w:wordWrap w:val="0"/>
              <w:spacing w:line="300" w:lineRule="exact"/>
              <w:rPr>
                <w:rFonts w:ascii="仿宋" w:hAnsi="仿宋" w:eastAsia="仿宋" w:cs="仿宋"/>
                <w:sz w:val="24"/>
              </w:rPr>
            </w:pPr>
            <w:r>
              <w:rPr>
                <w:rFonts w:hint="eastAsia" w:ascii="仿宋" w:hAnsi="仿宋" w:eastAsia="仿宋" w:cs="仿宋"/>
                <w:sz w:val="24"/>
              </w:rPr>
              <w:t>投标人的评标总得分，分别为技术部分、商务部分、报价部分3项评分因素的汇总得分；</w:t>
            </w:r>
          </w:p>
        </w:tc>
      </w:tr>
      <w:tr w14:paraId="76224DF3">
        <w:tblPrEx>
          <w:tblCellMar>
            <w:top w:w="0" w:type="dxa"/>
            <w:left w:w="108" w:type="dxa"/>
            <w:bottom w:w="0" w:type="dxa"/>
            <w:right w:w="108" w:type="dxa"/>
          </w:tblCellMar>
        </w:tblPrEx>
        <w:trPr>
          <w:cantSplit/>
          <w:trHeight w:val="613" w:hRule="atLeast"/>
          <w:jc w:val="center"/>
        </w:trPr>
        <w:tc>
          <w:tcPr>
            <w:tcW w:w="2695" w:type="dxa"/>
            <w:gridSpan w:val="3"/>
            <w:vMerge w:val="continue"/>
            <w:tcBorders>
              <w:top w:val="single" w:color="auto" w:sz="8" w:space="0"/>
              <w:left w:val="single" w:color="auto" w:sz="8" w:space="0"/>
              <w:bottom w:val="single" w:color="auto" w:sz="8" w:space="0"/>
              <w:right w:val="single" w:color="auto" w:sz="8" w:space="0"/>
            </w:tcBorders>
            <w:vAlign w:val="center"/>
          </w:tcPr>
          <w:p w14:paraId="1256AE35">
            <w:pPr>
              <w:widowControl/>
              <w:wordWrap w:val="0"/>
              <w:spacing w:line="300" w:lineRule="exact"/>
              <w:jc w:val="left"/>
              <w:rPr>
                <w:rFonts w:ascii="仿宋" w:hAnsi="仿宋" w:eastAsia="仿宋" w:cs="仿宋"/>
                <w:sz w:val="24"/>
              </w:rPr>
            </w:pPr>
          </w:p>
        </w:tc>
        <w:tc>
          <w:tcPr>
            <w:tcW w:w="7358" w:type="dxa"/>
            <w:gridSpan w:val="2"/>
            <w:tcBorders>
              <w:top w:val="single" w:color="auto" w:sz="8" w:space="0"/>
              <w:left w:val="single" w:color="auto" w:sz="8" w:space="0"/>
              <w:bottom w:val="single" w:color="auto" w:sz="8" w:space="0"/>
              <w:right w:val="single" w:color="auto" w:sz="12" w:space="0"/>
            </w:tcBorders>
            <w:vAlign w:val="center"/>
          </w:tcPr>
          <w:p w14:paraId="2265E84B">
            <w:pPr>
              <w:wordWrap w:val="0"/>
              <w:spacing w:line="300" w:lineRule="exact"/>
              <w:rPr>
                <w:rFonts w:ascii="仿宋" w:hAnsi="仿宋" w:eastAsia="仿宋" w:cs="仿宋"/>
                <w:sz w:val="24"/>
              </w:rPr>
            </w:pPr>
            <w:r>
              <w:rPr>
                <w:rFonts w:hint="eastAsia" w:ascii="仿宋" w:hAnsi="仿宋" w:eastAsia="仿宋" w:cs="仿宋"/>
                <w:sz w:val="24"/>
              </w:rPr>
              <w:t>技术部分：60分。</w:t>
            </w:r>
          </w:p>
          <w:p w14:paraId="3A8D5233">
            <w:pPr>
              <w:wordWrap w:val="0"/>
              <w:spacing w:line="300" w:lineRule="exact"/>
              <w:rPr>
                <w:rFonts w:ascii="仿宋" w:hAnsi="仿宋" w:eastAsia="仿宋" w:cs="仿宋"/>
                <w:sz w:val="24"/>
              </w:rPr>
            </w:pPr>
            <w:r>
              <w:rPr>
                <w:rFonts w:hint="eastAsia" w:ascii="仿宋" w:hAnsi="仿宋" w:eastAsia="仿宋" w:cs="仿宋"/>
                <w:sz w:val="24"/>
              </w:rPr>
              <w:t>商务部分：10分。</w:t>
            </w:r>
          </w:p>
          <w:p w14:paraId="5A9736E8">
            <w:pPr>
              <w:wordWrap w:val="0"/>
              <w:spacing w:line="300" w:lineRule="exact"/>
              <w:rPr>
                <w:rFonts w:ascii="仿宋" w:hAnsi="仿宋" w:eastAsia="仿宋" w:cs="仿宋"/>
                <w:sz w:val="24"/>
              </w:rPr>
            </w:pPr>
            <w:r>
              <w:rPr>
                <w:rFonts w:hint="eastAsia" w:ascii="仿宋" w:hAnsi="仿宋" w:eastAsia="仿宋" w:cs="仿宋"/>
                <w:sz w:val="24"/>
              </w:rPr>
              <w:t>报价部分：30分。</w:t>
            </w:r>
          </w:p>
        </w:tc>
      </w:tr>
      <w:tr w14:paraId="7D6016D3">
        <w:tblPrEx>
          <w:tblCellMar>
            <w:top w:w="0" w:type="dxa"/>
            <w:left w:w="108" w:type="dxa"/>
            <w:bottom w:w="0" w:type="dxa"/>
            <w:right w:w="108" w:type="dxa"/>
          </w:tblCellMar>
        </w:tblPrEx>
        <w:trPr>
          <w:trHeight w:val="246" w:hRule="atLeast"/>
          <w:jc w:val="center"/>
        </w:trPr>
        <w:tc>
          <w:tcPr>
            <w:tcW w:w="2146" w:type="dxa"/>
            <w:gridSpan w:val="2"/>
            <w:tcBorders>
              <w:top w:val="single" w:color="auto" w:sz="4" w:space="0"/>
              <w:left w:val="single" w:color="auto" w:sz="4" w:space="0"/>
              <w:bottom w:val="single" w:color="auto" w:sz="4" w:space="0"/>
              <w:right w:val="single" w:color="auto" w:sz="4" w:space="0"/>
            </w:tcBorders>
            <w:vAlign w:val="center"/>
          </w:tcPr>
          <w:p w14:paraId="1D156428">
            <w:pPr>
              <w:wordWrap w:val="0"/>
              <w:spacing w:line="400" w:lineRule="exact"/>
              <w:jc w:val="center"/>
              <w:rPr>
                <w:rFonts w:ascii="仿宋" w:hAnsi="仿宋" w:eastAsia="仿宋" w:cs="仿宋"/>
                <w:b/>
                <w:bCs/>
                <w:sz w:val="22"/>
                <w:szCs w:val="22"/>
              </w:rPr>
            </w:pPr>
            <w:r>
              <w:rPr>
                <w:rFonts w:hint="eastAsia" w:ascii="仿宋" w:hAnsi="仿宋" w:eastAsia="仿宋" w:cs="仿宋"/>
                <w:b/>
                <w:bCs/>
                <w:sz w:val="22"/>
                <w:szCs w:val="22"/>
              </w:rPr>
              <w:t>评分因素</w:t>
            </w:r>
          </w:p>
        </w:tc>
        <w:tc>
          <w:tcPr>
            <w:tcW w:w="812" w:type="dxa"/>
            <w:gridSpan w:val="2"/>
            <w:tcBorders>
              <w:top w:val="single" w:color="auto" w:sz="4" w:space="0"/>
              <w:left w:val="nil"/>
              <w:bottom w:val="single" w:color="auto" w:sz="4" w:space="0"/>
              <w:right w:val="single" w:color="auto" w:sz="4" w:space="0"/>
            </w:tcBorders>
            <w:vAlign w:val="center"/>
          </w:tcPr>
          <w:p w14:paraId="58B01631">
            <w:pPr>
              <w:wordWrap w:val="0"/>
              <w:spacing w:line="400" w:lineRule="exact"/>
              <w:jc w:val="center"/>
              <w:rPr>
                <w:rFonts w:ascii="仿宋" w:hAnsi="仿宋" w:eastAsia="仿宋" w:cs="仿宋"/>
                <w:b/>
                <w:bCs/>
                <w:sz w:val="22"/>
                <w:szCs w:val="22"/>
              </w:rPr>
            </w:pPr>
            <w:r>
              <w:rPr>
                <w:rFonts w:hint="eastAsia" w:ascii="仿宋" w:hAnsi="仿宋" w:eastAsia="仿宋" w:cs="仿宋"/>
                <w:b/>
                <w:bCs/>
                <w:sz w:val="22"/>
                <w:szCs w:val="22"/>
              </w:rPr>
              <w:t>分值</w:t>
            </w:r>
          </w:p>
        </w:tc>
        <w:tc>
          <w:tcPr>
            <w:tcW w:w="7095" w:type="dxa"/>
            <w:tcBorders>
              <w:top w:val="single" w:color="auto" w:sz="4" w:space="0"/>
              <w:left w:val="nil"/>
              <w:bottom w:val="single" w:color="auto" w:sz="4" w:space="0"/>
              <w:right w:val="single" w:color="auto" w:sz="4" w:space="0"/>
            </w:tcBorders>
            <w:vAlign w:val="center"/>
          </w:tcPr>
          <w:p w14:paraId="76503076">
            <w:pPr>
              <w:wordWrap w:val="0"/>
              <w:spacing w:line="400" w:lineRule="exact"/>
              <w:jc w:val="center"/>
              <w:rPr>
                <w:rFonts w:ascii="仿宋" w:hAnsi="仿宋" w:eastAsia="仿宋" w:cs="仿宋"/>
                <w:b/>
                <w:bCs/>
                <w:sz w:val="22"/>
                <w:szCs w:val="22"/>
              </w:rPr>
            </w:pPr>
            <w:r>
              <w:rPr>
                <w:rFonts w:hint="eastAsia" w:ascii="仿宋" w:hAnsi="仿宋" w:eastAsia="仿宋" w:cs="仿宋"/>
                <w:b/>
                <w:bCs/>
                <w:color w:val="auto"/>
                <w:sz w:val="22"/>
                <w:szCs w:val="22"/>
              </w:rPr>
              <w:t>评分标准</w:t>
            </w:r>
          </w:p>
        </w:tc>
      </w:tr>
      <w:tr w14:paraId="0F4D5159">
        <w:tblPrEx>
          <w:tblCellMar>
            <w:top w:w="0" w:type="dxa"/>
            <w:left w:w="108" w:type="dxa"/>
            <w:bottom w:w="0" w:type="dxa"/>
            <w:right w:w="108" w:type="dxa"/>
          </w:tblCellMar>
        </w:tblPrEx>
        <w:trPr>
          <w:trHeight w:val="1262" w:hRule="atLeast"/>
          <w:jc w:val="center"/>
        </w:trPr>
        <w:tc>
          <w:tcPr>
            <w:tcW w:w="928" w:type="dxa"/>
            <w:vMerge w:val="restart"/>
            <w:tcBorders>
              <w:top w:val="single" w:color="auto" w:sz="4" w:space="0"/>
              <w:left w:val="single" w:color="auto" w:sz="4" w:space="0"/>
              <w:right w:val="single" w:color="auto" w:sz="4" w:space="0"/>
            </w:tcBorders>
            <w:vAlign w:val="center"/>
          </w:tcPr>
          <w:p w14:paraId="6A589582">
            <w:pPr>
              <w:widowControl/>
              <w:wordWrap w:val="0"/>
              <w:spacing w:line="400" w:lineRule="exact"/>
              <w:jc w:val="left"/>
              <w:rPr>
                <w:rFonts w:eastAsia="仿宋"/>
                <w:szCs w:val="21"/>
              </w:rPr>
            </w:pPr>
            <w:r>
              <w:rPr>
                <w:rFonts w:eastAsia="仿宋"/>
                <w:szCs w:val="21"/>
              </w:rPr>
              <w:t>技术部分（60分）</w:t>
            </w:r>
          </w:p>
          <w:p w14:paraId="636C9BFA">
            <w:pPr>
              <w:wordWrap w:val="0"/>
              <w:spacing w:line="400" w:lineRule="exact"/>
              <w:jc w:val="center"/>
              <w:rPr>
                <w:rFonts w:eastAsia="仿宋"/>
                <w:szCs w:val="21"/>
              </w:rPr>
            </w:pPr>
          </w:p>
        </w:tc>
        <w:tc>
          <w:tcPr>
            <w:tcW w:w="1218" w:type="dxa"/>
            <w:tcBorders>
              <w:top w:val="single" w:color="auto" w:sz="4" w:space="0"/>
              <w:left w:val="single" w:color="auto" w:sz="4" w:space="0"/>
              <w:bottom w:val="single" w:color="auto" w:sz="4" w:space="0"/>
              <w:right w:val="single" w:color="auto" w:sz="4" w:space="0"/>
            </w:tcBorders>
            <w:vAlign w:val="center"/>
          </w:tcPr>
          <w:p w14:paraId="58A8BA68">
            <w:pPr>
              <w:pStyle w:val="89"/>
              <w:spacing w:line="312" w:lineRule="exact"/>
              <w:ind w:right="173"/>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szCs w:val="21"/>
              </w:rPr>
              <w:t>产品参数的响应程度</w:t>
            </w:r>
          </w:p>
        </w:tc>
        <w:tc>
          <w:tcPr>
            <w:tcW w:w="812" w:type="dxa"/>
            <w:gridSpan w:val="2"/>
            <w:tcBorders>
              <w:top w:val="single" w:color="auto" w:sz="4" w:space="0"/>
              <w:left w:val="single" w:color="auto" w:sz="4" w:space="0"/>
              <w:bottom w:val="single" w:color="auto" w:sz="4" w:space="0"/>
              <w:right w:val="single" w:color="auto" w:sz="4" w:space="0"/>
            </w:tcBorders>
            <w:vAlign w:val="center"/>
          </w:tcPr>
          <w:p w14:paraId="2B312E10">
            <w:pPr>
              <w:pStyle w:val="89"/>
              <w:spacing w:line="312" w:lineRule="exact"/>
              <w:ind w:left="415" w:right="173" w:hanging="24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50</w:t>
            </w:r>
          </w:p>
        </w:tc>
        <w:tc>
          <w:tcPr>
            <w:tcW w:w="7095" w:type="dxa"/>
            <w:tcBorders>
              <w:top w:val="single" w:color="auto" w:sz="4" w:space="0"/>
              <w:left w:val="nil"/>
              <w:bottom w:val="single" w:color="auto" w:sz="4" w:space="0"/>
              <w:right w:val="single" w:color="auto" w:sz="4" w:space="0"/>
            </w:tcBorders>
            <w:vAlign w:val="center"/>
          </w:tcPr>
          <w:p w14:paraId="54C7C7EA">
            <w:pPr>
              <w:spacing w:line="300" w:lineRule="exact"/>
              <w:rPr>
                <w:rFonts w:ascii="仿宋" w:hAnsi="仿宋" w:eastAsia="仿宋" w:cs="仿宋"/>
                <w:szCs w:val="21"/>
              </w:rPr>
            </w:pPr>
            <w:r>
              <w:rPr>
                <w:rFonts w:hint="eastAsia" w:ascii="仿宋" w:hAnsi="仿宋" w:eastAsia="仿宋" w:cs="仿宋"/>
                <w:szCs w:val="21"/>
              </w:rPr>
              <w:t>投标产品技术参数完全满足招标文件的相关要求，所有产品参数无偏离，所投产品的规格、技术参数及性能等完全满足招标文件要求的得满分50分，正偏离的条款不加分，负偏离的条款视为不满足招标文件要求，带“★”的条款，不满足1项扣5分；不带“★”的条款不满足1项扣2分，最低扣至0分。注：a、供应商须对本招标文件技</w:t>
            </w:r>
            <w:bookmarkStart w:id="0" w:name="_GoBack"/>
            <w:bookmarkEnd w:id="0"/>
            <w:r>
              <w:rPr>
                <w:rFonts w:hint="eastAsia" w:ascii="仿宋" w:hAnsi="仿宋" w:eastAsia="仿宋" w:cs="仿宋"/>
                <w:szCs w:val="21"/>
              </w:rPr>
              <w:t>术要求进行点对点应答，必须在引用本招标文件的基础上，进行逐条逐项答复,特别对有具体参数要求的指标，供应商必须提供所投设备的具体参数值。b、对于招标文件技术参数要求中标注“★”号条款为重要条款，重要技术参数必须提供证明材料，证明材料包括：招标文件技术参数内明确要求提供的证明材料，未明确的可提供制造商公开发布的印刷资料（彩页或产品宣传册）或检测(检验)报告或官方网站发布的技术资料截图或公开印刷的详细说明书（非自行拟定）或功能界面截图。不接受供应商自行印刷、打印或者手写的技术支持资料，若响应文件中技术支持资料参数与技术规格偏离表应答不符或无上述技术支持资料，视为不响应该条技术参数；其他条款需提供相关证明文件，若响应文件中无相关文件支持，视为不响应该条条款。若提供参数弄虚作假，取消投标人投标资格。</w:t>
            </w:r>
          </w:p>
        </w:tc>
      </w:tr>
      <w:tr w14:paraId="37DC75FD">
        <w:tblPrEx>
          <w:tblCellMar>
            <w:top w:w="0" w:type="dxa"/>
            <w:left w:w="108" w:type="dxa"/>
            <w:bottom w:w="0" w:type="dxa"/>
            <w:right w:w="108" w:type="dxa"/>
          </w:tblCellMar>
        </w:tblPrEx>
        <w:trPr>
          <w:trHeight w:val="553" w:hRule="atLeast"/>
          <w:jc w:val="center"/>
        </w:trPr>
        <w:tc>
          <w:tcPr>
            <w:tcW w:w="928" w:type="dxa"/>
            <w:vMerge w:val="continue"/>
            <w:tcBorders>
              <w:left w:val="single" w:color="auto" w:sz="4" w:space="0"/>
              <w:right w:val="single" w:color="auto" w:sz="4" w:space="0"/>
            </w:tcBorders>
            <w:vAlign w:val="center"/>
          </w:tcPr>
          <w:p w14:paraId="2436880B">
            <w:pPr>
              <w:widowControl/>
              <w:wordWrap w:val="0"/>
              <w:spacing w:line="400" w:lineRule="exact"/>
              <w:jc w:val="left"/>
              <w:rPr>
                <w:rFonts w:eastAsia="仿宋"/>
                <w:szCs w:val="21"/>
              </w:rPr>
            </w:pPr>
          </w:p>
        </w:tc>
        <w:tc>
          <w:tcPr>
            <w:tcW w:w="1218" w:type="dxa"/>
            <w:tcBorders>
              <w:top w:val="single" w:color="auto" w:sz="4" w:space="0"/>
              <w:left w:val="single" w:color="auto" w:sz="4" w:space="0"/>
              <w:bottom w:val="single" w:color="auto" w:sz="4" w:space="0"/>
              <w:right w:val="single" w:color="auto" w:sz="4" w:space="0"/>
            </w:tcBorders>
            <w:vAlign w:val="center"/>
          </w:tcPr>
          <w:p w14:paraId="5B0DD720">
            <w:pPr>
              <w:pStyle w:val="89"/>
              <w:spacing w:line="312" w:lineRule="exact"/>
              <w:ind w:right="173"/>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质量承诺及保证措施</w:t>
            </w:r>
          </w:p>
        </w:tc>
        <w:tc>
          <w:tcPr>
            <w:tcW w:w="812" w:type="dxa"/>
            <w:gridSpan w:val="2"/>
            <w:tcBorders>
              <w:top w:val="single" w:color="auto" w:sz="4" w:space="0"/>
              <w:left w:val="single" w:color="auto" w:sz="4" w:space="0"/>
              <w:bottom w:val="single" w:color="auto" w:sz="4" w:space="0"/>
              <w:right w:val="single" w:color="auto" w:sz="4" w:space="0"/>
            </w:tcBorders>
            <w:vAlign w:val="center"/>
          </w:tcPr>
          <w:p w14:paraId="3D02CB41">
            <w:pPr>
              <w:pStyle w:val="89"/>
              <w:spacing w:line="312" w:lineRule="exact"/>
              <w:ind w:left="415" w:right="173" w:hanging="24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w:t>
            </w:r>
          </w:p>
        </w:tc>
        <w:tc>
          <w:tcPr>
            <w:tcW w:w="7095" w:type="dxa"/>
            <w:tcBorders>
              <w:top w:val="single" w:color="auto" w:sz="4" w:space="0"/>
              <w:left w:val="nil"/>
              <w:bottom w:val="single" w:color="auto" w:sz="4" w:space="0"/>
              <w:right w:val="single" w:color="auto" w:sz="4" w:space="0"/>
            </w:tcBorders>
          </w:tcPr>
          <w:p w14:paraId="2F3C5448">
            <w:pPr>
              <w:tabs>
                <w:tab w:val="left" w:pos="540"/>
              </w:tabs>
              <w:adjustRightInd w:val="0"/>
              <w:spacing w:line="300" w:lineRule="exact"/>
              <w:rPr>
                <w:rFonts w:ascii="仿宋" w:hAnsi="仿宋" w:eastAsia="仿宋" w:cs="仿宋"/>
                <w:szCs w:val="21"/>
              </w:rPr>
            </w:pPr>
            <w:r>
              <w:rPr>
                <w:rFonts w:hint="eastAsia" w:ascii="仿宋" w:hAnsi="仿宋" w:eastAsia="仿宋" w:cs="仿宋"/>
                <w:szCs w:val="21"/>
              </w:rPr>
              <w:t>第一档次：有具体的质量承诺书，对质量保证措施有具体阐述，比较适用于本项目。（5分）</w:t>
            </w:r>
          </w:p>
          <w:p w14:paraId="387A1590">
            <w:pPr>
              <w:adjustRightInd w:val="0"/>
              <w:spacing w:line="300" w:lineRule="exact"/>
              <w:rPr>
                <w:rFonts w:ascii="仿宋" w:hAnsi="仿宋" w:eastAsia="仿宋" w:cs="仿宋"/>
                <w:szCs w:val="21"/>
              </w:rPr>
            </w:pPr>
            <w:r>
              <w:rPr>
                <w:rFonts w:hint="eastAsia" w:ascii="仿宋" w:hAnsi="仿宋" w:eastAsia="仿宋" w:cs="仿宋"/>
                <w:szCs w:val="21"/>
              </w:rPr>
              <w:t>第二档次：提供质量承诺书，对质量保证措施有具体阐述，基本适用于本项目。（3分）</w:t>
            </w:r>
          </w:p>
          <w:p w14:paraId="57AA9BF5">
            <w:pPr>
              <w:pStyle w:val="89"/>
              <w:spacing w:line="312" w:lineRule="exact"/>
              <w:ind w:right="173"/>
              <w:jc w:val="left"/>
              <w:rPr>
                <w:rFonts w:ascii="仿宋" w:hAnsi="仿宋" w:eastAsia="仿宋" w:cs="仿宋"/>
                <w:szCs w:val="21"/>
              </w:rPr>
            </w:pPr>
            <w:r>
              <w:rPr>
                <w:rFonts w:hint="eastAsia" w:ascii="仿宋" w:hAnsi="仿宋" w:eastAsia="仿宋" w:cs="仿宋"/>
                <w:szCs w:val="21"/>
              </w:rPr>
              <w:t>第三档次：提供质量承诺书，但对质量保证措施没有具体阐述。（1分）</w:t>
            </w:r>
          </w:p>
          <w:p w14:paraId="3E9A1320">
            <w:pPr>
              <w:pStyle w:val="89"/>
              <w:spacing w:line="312" w:lineRule="exact"/>
              <w:ind w:right="173"/>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szCs w:val="21"/>
              </w:rPr>
              <w:t>第四档次：未提供质量承诺书。（0分）</w:t>
            </w:r>
          </w:p>
        </w:tc>
      </w:tr>
      <w:tr w14:paraId="57C537EA">
        <w:tblPrEx>
          <w:tblCellMar>
            <w:top w:w="0" w:type="dxa"/>
            <w:left w:w="108" w:type="dxa"/>
            <w:bottom w:w="0" w:type="dxa"/>
            <w:right w:w="108" w:type="dxa"/>
          </w:tblCellMar>
        </w:tblPrEx>
        <w:trPr>
          <w:trHeight w:val="1596" w:hRule="atLeast"/>
          <w:jc w:val="center"/>
        </w:trPr>
        <w:tc>
          <w:tcPr>
            <w:tcW w:w="928" w:type="dxa"/>
            <w:vMerge w:val="continue"/>
            <w:tcBorders>
              <w:left w:val="single" w:color="auto" w:sz="4" w:space="0"/>
              <w:right w:val="single" w:color="auto" w:sz="4" w:space="0"/>
            </w:tcBorders>
            <w:vAlign w:val="center"/>
          </w:tcPr>
          <w:p w14:paraId="1FA729B4">
            <w:pPr>
              <w:wordWrap w:val="0"/>
              <w:spacing w:line="400" w:lineRule="exact"/>
              <w:jc w:val="center"/>
              <w:rPr>
                <w:rFonts w:eastAsia="仿宋"/>
                <w:szCs w:val="21"/>
              </w:rPr>
            </w:pPr>
          </w:p>
        </w:tc>
        <w:tc>
          <w:tcPr>
            <w:tcW w:w="1218" w:type="dxa"/>
            <w:tcBorders>
              <w:top w:val="single" w:color="auto" w:sz="4" w:space="0"/>
              <w:left w:val="single" w:color="auto" w:sz="4" w:space="0"/>
              <w:bottom w:val="single" w:color="auto" w:sz="4" w:space="0"/>
              <w:right w:val="single" w:color="auto" w:sz="4" w:space="0"/>
            </w:tcBorders>
            <w:vAlign w:val="center"/>
          </w:tcPr>
          <w:p w14:paraId="6AF79A1B">
            <w:pPr>
              <w:pStyle w:val="89"/>
              <w:spacing w:line="312" w:lineRule="exact"/>
              <w:ind w:right="173"/>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售后服务承诺及保证措施</w:t>
            </w:r>
          </w:p>
        </w:tc>
        <w:tc>
          <w:tcPr>
            <w:tcW w:w="812" w:type="dxa"/>
            <w:gridSpan w:val="2"/>
            <w:tcBorders>
              <w:top w:val="single" w:color="auto" w:sz="4" w:space="0"/>
              <w:left w:val="single" w:color="auto" w:sz="4" w:space="0"/>
              <w:bottom w:val="single" w:color="auto" w:sz="4" w:space="0"/>
              <w:right w:val="single" w:color="auto" w:sz="4" w:space="0"/>
            </w:tcBorders>
            <w:vAlign w:val="center"/>
          </w:tcPr>
          <w:p w14:paraId="37DFF518">
            <w:pPr>
              <w:pStyle w:val="89"/>
              <w:spacing w:line="312" w:lineRule="exact"/>
              <w:ind w:left="415" w:right="173" w:hanging="24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w:t>
            </w:r>
          </w:p>
        </w:tc>
        <w:tc>
          <w:tcPr>
            <w:tcW w:w="7095" w:type="dxa"/>
            <w:tcBorders>
              <w:top w:val="single" w:color="auto" w:sz="4" w:space="0"/>
              <w:left w:val="single" w:color="auto" w:sz="4" w:space="0"/>
              <w:bottom w:val="single" w:color="auto" w:sz="4" w:space="0"/>
              <w:right w:val="single" w:color="auto" w:sz="4" w:space="0"/>
            </w:tcBorders>
            <w:vAlign w:val="center"/>
          </w:tcPr>
          <w:p w14:paraId="25CA7A27">
            <w:pPr>
              <w:adjustRightInd w:val="0"/>
              <w:spacing w:line="300" w:lineRule="exact"/>
              <w:rPr>
                <w:rFonts w:ascii="仿宋" w:hAnsi="仿宋" w:eastAsia="仿宋" w:cs="仿宋"/>
                <w:szCs w:val="21"/>
              </w:rPr>
            </w:pPr>
            <w:r>
              <w:rPr>
                <w:rFonts w:hint="eastAsia" w:ascii="仿宋" w:hAnsi="仿宋" w:eastAsia="仿宋" w:cs="仿宋"/>
                <w:szCs w:val="21"/>
              </w:rPr>
              <w:t>第一档次：有具体的售后服务承诺及保证措施，售后服务响应时间较快，有本地化售后服务机制和售后服务点，比较适用于本项目，违约责任承诺完整，针对性强，处罚措施明确可行。（5分）</w:t>
            </w:r>
          </w:p>
          <w:p w14:paraId="63FF4187">
            <w:pPr>
              <w:adjustRightInd w:val="0"/>
              <w:spacing w:line="300" w:lineRule="exact"/>
              <w:rPr>
                <w:rFonts w:ascii="仿宋" w:hAnsi="仿宋" w:eastAsia="仿宋" w:cs="仿宋"/>
                <w:szCs w:val="21"/>
              </w:rPr>
            </w:pPr>
            <w:r>
              <w:rPr>
                <w:rFonts w:hint="eastAsia" w:ascii="仿宋" w:hAnsi="仿宋" w:eastAsia="仿宋" w:cs="仿宋"/>
                <w:szCs w:val="21"/>
              </w:rPr>
              <w:t>第二档次：提供售后服务承诺及保证措施，售后服务响应时间一般，有售后服务机制和售后服务点，适用于本项目，违约责任承诺基本完整，针对性一般，处罚措施不明确具体。（3分）。</w:t>
            </w:r>
          </w:p>
          <w:p w14:paraId="69EDFFEC">
            <w:pPr>
              <w:pStyle w:val="89"/>
              <w:spacing w:line="312" w:lineRule="exact"/>
              <w:ind w:right="173"/>
              <w:jc w:val="left"/>
              <w:rPr>
                <w:rFonts w:ascii="仿宋" w:hAnsi="仿宋" w:eastAsia="仿宋" w:cs="仿宋"/>
                <w:szCs w:val="21"/>
              </w:rPr>
            </w:pPr>
            <w:r>
              <w:rPr>
                <w:rFonts w:hint="eastAsia" w:ascii="仿宋" w:hAnsi="仿宋" w:eastAsia="仿宋" w:cs="仿宋"/>
                <w:szCs w:val="21"/>
              </w:rPr>
              <w:t>第三档次：提供售后服务承诺及保证措施，售后服务响应时间较慢，不适用于本项目，违约责任承诺不完整，无针对性，无处罚措施。（1分）</w:t>
            </w:r>
          </w:p>
          <w:p w14:paraId="5281C73C">
            <w:pPr>
              <w:pStyle w:val="89"/>
              <w:spacing w:line="312" w:lineRule="exact"/>
              <w:ind w:right="173"/>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szCs w:val="21"/>
              </w:rPr>
              <w:t>第四档次：未提供售后服务承诺及保证措施。（0分）</w:t>
            </w:r>
          </w:p>
        </w:tc>
      </w:tr>
      <w:tr w14:paraId="44F90385">
        <w:tblPrEx>
          <w:tblCellMar>
            <w:top w:w="0" w:type="dxa"/>
            <w:left w:w="108" w:type="dxa"/>
            <w:bottom w:w="0" w:type="dxa"/>
            <w:right w:w="108" w:type="dxa"/>
          </w:tblCellMar>
        </w:tblPrEx>
        <w:trPr>
          <w:trHeight w:val="416" w:hRule="atLeast"/>
          <w:jc w:val="center"/>
        </w:trPr>
        <w:tc>
          <w:tcPr>
            <w:tcW w:w="928" w:type="dxa"/>
            <w:vMerge w:val="restart"/>
            <w:tcBorders>
              <w:top w:val="single" w:color="auto" w:sz="4" w:space="0"/>
              <w:left w:val="single" w:color="auto" w:sz="4" w:space="0"/>
              <w:bottom w:val="single" w:color="auto" w:sz="4" w:space="0"/>
              <w:right w:val="single" w:color="auto" w:sz="4" w:space="0"/>
            </w:tcBorders>
            <w:vAlign w:val="center"/>
          </w:tcPr>
          <w:p w14:paraId="43FEF429">
            <w:pPr>
              <w:jc w:val="center"/>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商务部分</w:t>
            </w:r>
          </w:p>
          <w:p w14:paraId="26E98ECE">
            <w:pPr>
              <w:wordWrap w:val="0"/>
              <w:adjustRightInd w:val="0"/>
              <w:spacing w:line="400" w:lineRule="exact"/>
              <w:rPr>
                <w:rFonts w:eastAsia="仿宋"/>
                <w:szCs w:val="21"/>
              </w:rPr>
            </w:pPr>
            <w:r>
              <w:rPr>
                <w:rFonts w:eastAsia="仿宋"/>
                <w:color w:val="000000" w:themeColor="text1"/>
                <w:szCs w:val="21"/>
                <w14:textFill>
                  <w14:solidFill>
                    <w14:schemeClr w14:val="tx1"/>
                  </w14:solidFill>
                </w14:textFill>
              </w:rPr>
              <w:t>（10分）</w:t>
            </w:r>
          </w:p>
        </w:tc>
        <w:tc>
          <w:tcPr>
            <w:tcW w:w="1218" w:type="dxa"/>
            <w:tcBorders>
              <w:top w:val="single" w:color="auto" w:sz="4" w:space="0"/>
              <w:left w:val="single" w:color="auto" w:sz="4" w:space="0"/>
              <w:bottom w:val="single" w:color="auto" w:sz="4" w:space="0"/>
              <w:right w:val="single" w:color="auto" w:sz="4" w:space="0"/>
            </w:tcBorders>
            <w:vAlign w:val="center"/>
          </w:tcPr>
          <w:p w14:paraId="69183A5E">
            <w:pPr>
              <w:wordWrap w:val="0"/>
              <w:spacing w:line="300" w:lineRule="exact"/>
              <w:ind w:right="10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Cs/>
                <w:szCs w:val="21"/>
              </w:rPr>
              <w:t>响应文件内容完整性和编制水平</w:t>
            </w:r>
          </w:p>
        </w:tc>
        <w:tc>
          <w:tcPr>
            <w:tcW w:w="812" w:type="dxa"/>
            <w:gridSpan w:val="2"/>
            <w:tcBorders>
              <w:top w:val="single" w:color="auto" w:sz="4" w:space="0"/>
              <w:left w:val="single" w:color="auto" w:sz="4" w:space="0"/>
              <w:bottom w:val="single" w:color="auto" w:sz="4" w:space="0"/>
              <w:right w:val="single" w:color="auto" w:sz="4" w:space="0"/>
            </w:tcBorders>
            <w:vAlign w:val="center"/>
          </w:tcPr>
          <w:p w14:paraId="61841791">
            <w:pPr>
              <w:wordWrap w:val="0"/>
              <w:spacing w:line="4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w:t>
            </w:r>
          </w:p>
        </w:tc>
        <w:tc>
          <w:tcPr>
            <w:tcW w:w="7095" w:type="dxa"/>
            <w:tcBorders>
              <w:top w:val="single" w:color="auto" w:sz="4" w:space="0"/>
              <w:left w:val="single" w:color="auto" w:sz="4" w:space="0"/>
              <w:bottom w:val="single" w:color="auto" w:sz="4" w:space="0"/>
              <w:right w:val="single" w:color="auto" w:sz="4" w:space="0"/>
            </w:tcBorders>
            <w:vAlign w:val="center"/>
          </w:tcPr>
          <w:p w14:paraId="2388F357">
            <w:pPr>
              <w:spacing w:line="300" w:lineRule="exact"/>
              <w:rPr>
                <w:rFonts w:ascii="仿宋" w:hAnsi="仿宋" w:eastAsia="仿宋" w:cs="仿宋"/>
                <w:szCs w:val="21"/>
              </w:rPr>
            </w:pPr>
            <w:r>
              <w:rPr>
                <w:rFonts w:hint="eastAsia" w:ascii="仿宋" w:hAnsi="仿宋" w:eastAsia="仿宋" w:cs="仿宋"/>
                <w:szCs w:val="21"/>
              </w:rPr>
              <w:t>第一档次：响应文件内容完整、资料齐全、严谨周密，编制水平优（文件层次分明，章节清晰，编码完整，内容齐全、无含义不明确、同类问题表述不一致情况，无技术参数前后错误和计算错误等内容问题。（5分）</w:t>
            </w:r>
          </w:p>
          <w:p w14:paraId="57EC0607">
            <w:pPr>
              <w:spacing w:line="300" w:lineRule="exact"/>
              <w:rPr>
                <w:rFonts w:ascii="仿宋" w:hAnsi="仿宋" w:eastAsia="仿宋" w:cs="仿宋"/>
                <w:bCs/>
                <w:szCs w:val="21"/>
              </w:rPr>
            </w:pPr>
            <w:r>
              <w:rPr>
                <w:rFonts w:hint="eastAsia" w:ascii="仿宋" w:hAnsi="仿宋" w:eastAsia="仿宋" w:cs="仿宋"/>
                <w:szCs w:val="21"/>
              </w:rPr>
              <w:t>第二档次：响应文件内容基本完整、齐全，编制水平良好、技术指标和配置设计方案良好，文字表达和复印材料基本满足《招标文件》要求。（3分）</w:t>
            </w:r>
          </w:p>
          <w:p w14:paraId="14B027F1">
            <w:pPr>
              <w:spacing w:line="300" w:lineRule="exact"/>
              <w:rPr>
                <w:rFonts w:ascii="仿宋" w:hAnsi="仿宋" w:eastAsia="仿宋" w:cs="仿宋"/>
                <w:bCs/>
                <w:szCs w:val="21"/>
              </w:rPr>
            </w:pPr>
            <w:r>
              <w:rPr>
                <w:rFonts w:hint="eastAsia" w:ascii="仿宋" w:hAnsi="仿宋" w:eastAsia="仿宋" w:cs="仿宋"/>
                <w:szCs w:val="21"/>
              </w:rPr>
              <w:t>第三档次：响应文件内容不完整，不真实，编制较差。（0分）</w:t>
            </w:r>
          </w:p>
        </w:tc>
      </w:tr>
      <w:tr w14:paraId="6CA68E20">
        <w:tblPrEx>
          <w:tblCellMar>
            <w:top w:w="0" w:type="dxa"/>
            <w:left w:w="108" w:type="dxa"/>
            <w:bottom w:w="0" w:type="dxa"/>
            <w:right w:w="108" w:type="dxa"/>
          </w:tblCellMar>
        </w:tblPrEx>
        <w:trPr>
          <w:trHeight w:val="707" w:hRule="atLeast"/>
          <w:jc w:val="center"/>
        </w:trPr>
        <w:tc>
          <w:tcPr>
            <w:tcW w:w="928" w:type="dxa"/>
            <w:vMerge w:val="continue"/>
            <w:tcBorders>
              <w:top w:val="single" w:color="auto" w:sz="4" w:space="0"/>
              <w:left w:val="single" w:color="auto" w:sz="4" w:space="0"/>
              <w:bottom w:val="single" w:color="auto" w:sz="4" w:space="0"/>
              <w:right w:val="single" w:color="auto" w:sz="4" w:space="0"/>
            </w:tcBorders>
            <w:vAlign w:val="center"/>
          </w:tcPr>
          <w:p w14:paraId="2008DD49">
            <w:pPr>
              <w:wordWrap w:val="0"/>
              <w:adjustRightInd w:val="0"/>
              <w:spacing w:line="400" w:lineRule="exact"/>
              <w:rPr>
                <w:rFonts w:ascii="仿宋" w:hAnsi="仿宋" w:eastAsia="仿宋" w:cs="仿宋"/>
                <w:color w:val="000000" w:themeColor="text1"/>
                <w:szCs w:val="21"/>
                <w14:textFill>
                  <w14:solidFill>
                    <w14:schemeClr w14:val="tx1"/>
                  </w14:solidFill>
                </w14:textFill>
              </w:rPr>
            </w:pPr>
          </w:p>
        </w:tc>
        <w:tc>
          <w:tcPr>
            <w:tcW w:w="1218" w:type="dxa"/>
            <w:tcBorders>
              <w:top w:val="single" w:color="auto" w:sz="4" w:space="0"/>
              <w:left w:val="single" w:color="auto" w:sz="4" w:space="0"/>
              <w:bottom w:val="single" w:color="auto" w:sz="4" w:space="0"/>
              <w:right w:val="single" w:color="auto" w:sz="4" w:space="0"/>
            </w:tcBorders>
            <w:vAlign w:val="center"/>
          </w:tcPr>
          <w:p w14:paraId="0F1DF671">
            <w:pPr>
              <w:wordWrap w:val="0"/>
              <w:spacing w:line="4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szCs w:val="21"/>
              </w:rPr>
              <w:t>业绩</w:t>
            </w:r>
          </w:p>
        </w:tc>
        <w:tc>
          <w:tcPr>
            <w:tcW w:w="812" w:type="dxa"/>
            <w:gridSpan w:val="2"/>
            <w:tcBorders>
              <w:top w:val="single" w:color="auto" w:sz="4" w:space="0"/>
              <w:left w:val="single" w:color="auto" w:sz="4" w:space="0"/>
              <w:bottom w:val="single" w:color="auto" w:sz="4" w:space="0"/>
              <w:right w:val="single" w:color="auto" w:sz="4" w:space="0"/>
            </w:tcBorders>
            <w:vAlign w:val="center"/>
          </w:tcPr>
          <w:p w14:paraId="0B83F404">
            <w:pPr>
              <w:wordWrap w:val="0"/>
              <w:spacing w:line="40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w:t>
            </w:r>
          </w:p>
        </w:tc>
        <w:tc>
          <w:tcPr>
            <w:tcW w:w="7095" w:type="dxa"/>
            <w:tcBorders>
              <w:top w:val="single" w:color="auto" w:sz="4" w:space="0"/>
              <w:left w:val="single" w:color="auto" w:sz="4" w:space="0"/>
              <w:bottom w:val="single" w:color="auto" w:sz="4" w:space="0"/>
              <w:right w:val="single" w:color="auto" w:sz="4" w:space="0"/>
            </w:tcBorders>
            <w:vAlign w:val="center"/>
          </w:tcPr>
          <w:p w14:paraId="60350250">
            <w:pPr>
              <w:wordWrap w:val="0"/>
              <w:spacing w:line="40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szCs w:val="21"/>
              </w:rPr>
              <w:t>提供近三年（2023年4月至今）类似项目的业绩（提供类似项目的合同原件扫描件或中标通知书原件扫描件）提供一份1份得1分，满分5分，不提供的得0分。</w:t>
            </w:r>
          </w:p>
        </w:tc>
      </w:tr>
      <w:tr w14:paraId="709C2B7E">
        <w:tblPrEx>
          <w:tblCellMar>
            <w:top w:w="0" w:type="dxa"/>
            <w:left w:w="108" w:type="dxa"/>
            <w:bottom w:w="0" w:type="dxa"/>
            <w:right w:w="108" w:type="dxa"/>
          </w:tblCellMar>
        </w:tblPrEx>
        <w:trPr>
          <w:trHeight w:val="2895"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14:paraId="4CA76460">
            <w:pPr>
              <w:wordWrap w:val="0"/>
              <w:spacing w:line="400" w:lineRule="exact"/>
              <w:jc w:val="center"/>
              <w:rPr>
                <w:rFonts w:ascii="仿宋" w:hAnsi="仿宋" w:eastAsia="仿宋" w:cs="仿宋"/>
                <w:szCs w:val="21"/>
              </w:rPr>
            </w:pPr>
            <w:r>
              <w:rPr>
                <w:rFonts w:hint="eastAsia" w:ascii="仿宋" w:hAnsi="仿宋" w:eastAsia="仿宋" w:cs="仿宋"/>
                <w:szCs w:val="21"/>
              </w:rPr>
              <w:t>报价部分评分（30分）</w:t>
            </w:r>
          </w:p>
          <w:p w14:paraId="4CC28F5D">
            <w:pPr>
              <w:wordWrap w:val="0"/>
              <w:spacing w:line="400" w:lineRule="exact"/>
              <w:jc w:val="center"/>
              <w:rPr>
                <w:rFonts w:ascii="仿宋" w:hAnsi="仿宋" w:eastAsia="仿宋" w:cs="仿宋"/>
                <w:szCs w:val="21"/>
              </w:rPr>
            </w:pPr>
          </w:p>
        </w:tc>
        <w:tc>
          <w:tcPr>
            <w:tcW w:w="1218" w:type="dxa"/>
            <w:tcBorders>
              <w:top w:val="single" w:color="auto" w:sz="4" w:space="0"/>
              <w:left w:val="single" w:color="auto" w:sz="4" w:space="0"/>
              <w:bottom w:val="single" w:color="auto" w:sz="4" w:space="0"/>
              <w:right w:val="single" w:color="auto" w:sz="4" w:space="0"/>
            </w:tcBorders>
            <w:vAlign w:val="center"/>
          </w:tcPr>
          <w:p w14:paraId="5F02D07B">
            <w:pPr>
              <w:widowControl/>
              <w:wordWrap w:val="0"/>
              <w:spacing w:line="400" w:lineRule="exact"/>
              <w:rPr>
                <w:rFonts w:ascii="仿宋" w:hAnsi="仿宋" w:eastAsia="仿宋" w:cs="仿宋"/>
                <w:szCs w:val="21"/>
              </w:rPr>
            </w:pPr>
            <w:r>
              <w:rPr>
                <w:rFonts w:hint="eastAsia" w:ascii="仿宋" w:hAnsi="仿宋" w:eastAsia="仿宋" w:cs="仿宋"/>
                <w:szCs w:val="21"/>
              </w:rPr>
              <w:t>投标报价</w:t>
            </w:r>
          </w:p>
        </w:tc>
        <w:tc>
          <w:tcPr>
            <w:tcW w:w="812" w:type="dxa"/>
            <w:gridSpan w:val="2"/>
            <w:tcBorders>
              <w:top w:val="single" w:color="auto" w:sz="4" w:space="0"/>
              <w:left w:val="single" w:color="auto" w:sz="4" w:space="0"/>
              <w:bottom w:val="single" w:color="auto" w:sz="4" w:space="0"/>
              <w:right w:val="single" w:color="auto" w:sz="4" w:space="0"/>
            </w:tcBorders>
            <w:vAlign w:val="center"/>
          </w:tcPr>
          <w:p w14:paraId="0A04D587">
            <w:pPr>
              <w:widowControl/>
              <w:wordWrap w:val="0"/>
              <w:spacing w:line="400" w:lineRule="exact"/>
              <w:rPr>
                <w:rFonts w:ascii="仿宋" w:hAnsi="仿宋" w:eastAsia="仿宋" w:cs="仿宋"/>
                <w:szCs w:val="21"/>
              </w:rPr>
            </w:pPr>
            <w:r>
              <w:rPr>
                <w:rFonts w:hint="eastAsia" w:ascii="仿宋" w:hAnsi="仿宋" w:eastAsia="仿宋" w:cs="仿宋"/>
                <w:szCs w:val="21"/>
              </w:rPr>
              <w:t>30</w:t>
            </w:r>
          </w:p>
        </w:tc>
        <w:tc>
          <w:tcPr>
            <w:tcW w:w="7095" w:type="dxa"/>
            <w:tcBorders>
              <w:top w:val="single" w:color="auto" w:sz="4" w:space="0"/>
              <w:left w:val="single" w:color="auto" w:sz="4" w:space="0"/>
              <w:bottom w:val="single" w:color="auto" w:sz="4" w:space="0"/>
              <w:right w:val="single" w:color="auto" w:sz="4" w:space="0"/>
            </w:tcBorders>
            <w:vAlign w:val="center"/>
          </w:tcPr>
          <w:p w14:paraId="76806386">
            <w:pPr>
              <w:widowControl/>
              <w:wordWrap w:val="0"/>
              <w:spacing w:line="380" w:lineRule="exact"/>
              <w:rPr>
                <w:rFonts w:ascii="仿宋" w:hAnsi="仿宋" w:eastAsia="仿宋" w:cs="仿宋"/>
                <w:b/>
                <w:bCs/>
                <w:szCs w:val="21"/>
              </w:rPr>
            </w:pPr>
            <w:r>
              <w:rPr>
                <w:rFonts w:hint="eastAsia" w:ascii="仿宋" w:hAnsi="仿宋" w:eastAsia="仿宋" w:cs="仿宋"/>
                <w:szCs w:val="21"/>
              </w:rPr>
              <w:t>1.满足招标文件要求且投标价格最低的投标报价为评标基准价，其报价分为满分30分。其他投标人的价格评分统一按照下列公式计算：投标报价得分=（评标基准价/投标报价）×30。</w:t>
            </w:r>
            <w:r>
              <w:rPr>
                <w:rFonts w:hint="eastAsia" w:ascii="仿宋" w:hAnsi="仿宋" w:eastAsia="仿宋" w:cs="仿宋"/>
                <w:b/>
                <w:bCs/>
                <w:szCs w:val="21"/>
              </w:rPr>
              <w:t>若投标人为小微企业的，本项目对符合规定的小微企业报价给予10%的扣除，用扣除后的价格参加评审，上述计算公式中小微企业的投标总标价应先价格扣除后再进行评标基准价、报价得分计算，价格扣除计算公式：投标报价×（1-10%）。</w:t>
            </w:r>
          </w:p>
          <w:p w14:paraId="3676F076">
            <w:pPr>
              <w:widowControl/>
              <w:wordWrap w:val="0"/>
              <w:spacing w:line="380" w:lineRule="exact"/>
              <w:rPr>
                <w:rFonts w:ascii="仿宋" w:hAnsi="仿宋" w:eastAsia="仿宋" w:cs="仿宋"/>
                <w:b/>
                <w:bCs/>
                <w:szCs w:val="21"/>
              </w:rPr>
            </w:pPr>
            <w:r>
              <w:rPr>
                <w:rFonts w:hint="eastAsia" w:ascii="仿宋" w:hAnsi="仿宋" w:eastAsia="仿宋" w:cs="仿宋"/>
                <w:b/>
                <w:bCs/>
                <w:szCs w:val="21"/>
              </w:rPr>
              <w:t>计算结果保留小数点后两位，第三位四舍五入。</w:t>
            </w:r>
          </w:p>
          <w:p w14:paraId="0BF39E2F">
            <w:pPr>
              <w:widowControl/>
              <w:wordWrap w:val="0"/>
              <w:spacing w:line="380" w:lineRule="exact"/>
              <w:rPr>
                <w:rFonts w:ascii="仿宋" w:hAnsi="仿宋" w:eastAsia="仿宋" w:cs="仿宋"/>
                <w:b/>
                <w:bCs/>
                <w:szCs w:val="21"/>
              </w:rPr>
            </w:pPr>
            <w:r>
              <w:rPr>
                <w:rFonts w:hint="eastAsia" w:ascii="仿宋" w:hAnsi="仿宋" w:eastAsia="仿宋" w:cs="仿宋"/>
                <w:b/>
                <w:bCs/>
                <w:szCs w:val="21"/>
              </w:rPr>
              <w:t>2.价格扣除</w:t>
            </w:r>
          </w:p>
          <w:p w14:paraId="1C083736">
            <w:pPr>
              <w:widowControl/>
              <w:wordWrap w:val="0"/>
              <w:spacing w:line="380" w:lineRule="exact"/>
              <w:rPr>
                <w:rFonts w:ascii="仿宋" w:hAnsi="仿宋" w:eastAsia="仿宋" w:cs="仿宋"/>
                <w:szCs w:val="21"/>
              </w:rPr>
            </w:pPr>
            <w:r>
              <w:rPr>
                <w:rFonts w:hint="eastAsia" w:ascii="仿宋" w:hAnsi="仿宋" w:eastAsia="仿宋" w:cs="仿宋"/>
                <w:szCs w:val="21"/>
              </w:rPr>
              <w:t>2.1价格扣除优惠政策：根据《政府采购促进中小企业发展管理办法》（财库〔2020〕46号）、《关于进一步加大政府采购支持中小企业力度的通知》（财库〔2022〕19号）、《财政部司法部关于政府采购支持监狱企业发展有关问题的通知》 (财库〔2014〕68 号)、《关于促进残疾人就业政府采购政策的通知》（财库〔2017〕141 号）和《云南省财政厅关于促进政府采购公平竞争优化营商环境的实施意见》（云财规〔2019〕5号）等文件精神，本项目对小微企业的价格给予10%的扣除，扣除后的价格参与报价部分评审，监狱企业、残疾人福利性单位视同小微企业。监狱企业、残疾人福利性单位属于小微企业的，不重复享受价格扣除优惠政策；投标人提供的货物既有小微企业制造货物，也有大中型企业制造货物的，不享受价格扣除优惠政策。价格扣除比例对小型企业和微型企业同等对待，不作区分。</w:t>
            </w:r>
          </w:p>
          <w:p w14:paraId="023AC6B2">
            <w:pPr>
              <w:widowControl/>
              <w:wordWrap w:val="0"/>
              <w:spacing w:line="380" w:lineRule="exact"/>
              <w:rPr>
                <w:rFonts w:ascii="仿宋" w:hAnsi="仿宋" w:eastAsia="仿宋" w:cs="仿宋"/>
                <w:szCs w:val="21"/>
              </w:rPr>
            </w:pPr>
            <w:r>
              <w:rPr>
                <w:rFonts w:hint="eastAsia" w:ascii="仿宋" w:hAnsi="仿宋" w:eastAsia="仿宋" w:cs="仿宋"/>
                <w:szCs w:val="21"/>
              </w:rPr>
              <w:t>2.2定义：</w:t>
            </w:r>
          </w:p>
          <w:p w14:paraId="23E5575C">
            <w:pPr>
              <w:widowControl/>
              <w:wordWrap w:val="0"/>
              <w:spacing w:line="380" w:lineRule="exact"/>
              <w:rPr>
                <w:rFonts w:ascii="仿宋" w:hAnsi="仿宋" w:eastAsia="仿宋" w:cs="仿宋"/>
                <w:szCs w:val="21"/>
              </w:rPr>
            </w:pPr>
            <w:r>
              <w:rPr>
                <w:rFonts w:hint="eastAsia" w:ascii="仿宋" w:hAnsi="仿宋" w:eastAsia="仿宋" w:cs="仿宋"/>
                <w:szCs w:val="21"/>
              </w:rPr>
              <w:t>（1）小微企业是指在中华人民共和国境内依法设立，依据国务院批准的中小企业划分标准确定的小型企业和微型企业，但与大企业的负责人为同一人，或者与大企业存在直接控股、管理关系的除外。符合中小企业划分标准的个体工商户，在采购活动中视同中小企业。</w:t>
            </w:r>
          </w:p>
          <w:p w14:paraId="30551CD9">
            <w:pPr>
              <w:widowControl/>
              <w:wordWrap w:val="0"/>
              <w:spacing w:line="380" w:lineRule="exact"/>
              <w:rPr>
                <w:rFonts w:ascii="仿宋" w:hAnsi="仿宋" w:eastAsia="仿宋" w:cs="仿宋"/>
                <w:szCs w:val="21"/>
              </w:rPr>
            </w:pPr>
            <w:r>
              <w:rPr>
                <w:rFonts w:hint="eastAsia" w:ascii="仿宋" w:hAnsi="仿宋" w:eastAsia="仿宋" w:cs="仿宋"/>
                <w:szCs w:val="21"/>
              </w:rPr>
              <w:t>（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C4072B2">
            <w:pPr>
              <w:widowControl/>
              <w:wordWrap w:val="0"/>
              <w:spacing w:line="380" w:lineRule="exact"/>
              <w:rPr>
                <w:rFonts w:ascii="仿宋" w:hAnsi="仿宋" w:eastAsia="仿宋" w:cs="仿宋"/>
                <w:szCs w:val="21"/>
              </w:rPr>
            </w:pPr>
            <w:r>
              <w:rPr>
                <w:rFonts w:hint="eastAsia" w:ascii="仿宋" w:hAnsi="仿宋" w:eastAsia="仿宋" w:cs="仿宋"/>
                <w:szCs w:val="21"/>
              </w:rPr>
              <w:t>（3）享受价格扣除优惠政策的残疾人福利性单位应当同时满足以下条件：</w:t>
            </w:r>
          </w:p>
          <w:p w14:paraId="5F7CE38A">
            <w:pPr>
              <w:widowControl/>
              <w:wordWrap w:val="0"/>
              <w:spacing w:line="380" w:lineRule="exact"/>
              <w:rPr>
                <w:rFonts w:ascii="仿宋" w:hAnsi="仿宋" w:eastAsia="仿宋" w:cs="仿宋"/>
                <w:szCs w:val="21"/>
              </w:rPr>
            </w:pPr>
            <w:r>
              <w:rPr>
                <w:rFonts w:hint="eastAsia" w:ascii="仿宋" w:hAnsi="仿宋" w:eastAsia="仿宋" w:cs="仿宋"/>
                <w:szCs w:val="21"/>
              </w:rPr>
              <w:t>①安置的残疾人占本单位在职职工人数的比例不低于25%（含25%），并且安置的残疾人人数不少于10人（含10人）；</w:t>
            </w:r>
          </w:p>
          <w:p w14:paraId="55320CE8">
            <w:pPr>
              <w:widowControl/>
              <w:wordWrap w:val="0"/>
              <w:spacing w:line="380" w:lineRule="exact"/>
              <w:rPr>
                <w:rFonts w:ascii="仿宋" w:hAnsi="仿宋" w:eastAsia="仿宋" w:cs="仿宋"/>
                <w:szCs w:val="21"/>
              </w:rPr>
            </w:pPr>
            <w:r>
              <w:rPr>
                <w:rFonts w:hint="eastAsia" w:ascii="仿宋" w:hAnsi="仿宋" w:eastAsia="仿宋" w:cs="仿宋"/>
                <w:szCs w:val="21"/>
              </w:rPr>
              <w:t>②依法与安置的每位残疾人签订了一年以上（含一年）的劳动合同或服务协议；</w:t>
            </w:r>
          </w:p>
          <w:p w14:paraId="7C261012">
            <w:pPr>
              <w:widowControl/>
              <w:wordWrap w:val="0"/>
              <w:spacing w:line="380" w:lineRule="exact"/>
              <w:rPr>
                <w:rFonts w:ascii="仿宋" w:hAnsi="仿宋" w:eastAsia="仿宋" w:cs="仿宋"/>
                <w:szCs w:val="21"/>
              </w:rPr>
            </w:pPr>
            <w:r>
              <w:rPr>
                <w:rFonts w:hint="eastAsia" w:ascii="仿宋" w:hAnsi="仿宋" w:eastAsia="仿宋" w:cs="仿宋"/>
                <w:szCs w:val="21"/>
              </w:rPr>
              <w:t>③为安置的每位残疾人按月足额缴纳了基本养老保险、基本医疗保险、失业保险和工伤保险等社会保险费；</w:t>
            </w:r>
          </w:p>
          <w:p w14:paraId="5B43830A">
            <w:pPr>
              <w:widowControl/>
              <w:wordWrap w:val="0"/>
              <w:spacing w:line="380" w:lineRule="exact"/>
              <w:rPr>
                <w:rFonts w:ascii="仿宋" w:hAnsi="仿宋" w:eastAsia="仿宋" w:cs="仿宋"/>
                <w:szCs w:val="21"/>
              </w:rPr>
            </w:pPr>
            <w:r>
              <w:rPr>
                <w:rFonts w:hint="eastAsia" w:ascii="仿宋" w:hAnsi="仿宋" w:eastAsia="仿宋" w:cs="仿宋"/>
                <w:szCs w:val="21"/>
              </w:rPr>
              <w:t>④通过银行等金融机构向安置的每位残疾人，按月支付了不低于单位所在区县适用的经省级人民政府批准的月最低工资标准的工资；</w:t>
            </w:r>
          </w:p>
          <w:p w14:paraId="48070441">
            <w:pPr>
              <w:widowControl/>
              <w:wordWrap w:val="0"/>
              <w:spacing w:line="380" w:lineRule="exact"/>
              <w:rPr>
                <w:rFonts w:ascii="仿宋" w:hAnsi="仿宋" w:eastAsia="仿宋" w:cs="仿宋"/>
                <w:szCs w:val="21"/>
              </w:rPr>
            </w:pPr>
            <w:r>
              <w:rPr>
                <w:rFonts w:hint="eastAsia" w:ascii="仿宋" w:hAnsi="仿宋" w:eastAsia="仿宋" w:cs="仿宋"/>
                <w:szCs w:val="21"/>
              </w:rPr>
              <w:t>⑤提供本单位制造的货物，或者提供其他残疾人福利性单位制造的货物（不包括使用非残疾人福利性单位注册商标的货物）。</w:t>
            </w:r>
          </w:p>
          <w:p w14:paraId="503B017C">
            <w:pPr>
              <w:widowControl/>
              <w:wordWrap w:val="0"/>
              <w:spacing w:line="380" w:lineRule="exact"/>
              <w:rPr>
                <w:rFonts w:ascii="仿宋" w:hAnsi="仿宋" w:eastAsia="仿宋" w:cs="仿宋"/>
                <w:szCs w:val="21"/>
              </w:rPr>
            </w:pPr>
            <w:r>
              <w:rPr>
                <w:rFonts w:hint="eastAsia" w:ascii="仿宋" w:hAnsi="仿宋" w:eastAsia="仿宋" w:cs="仿宋"/>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2B4E404">
            <w:pPr>
              <w:widowControl/>
              <w:wordWrap w:val="0"/>
              <w:spacing w:line="380" w:lineRule="exact"/>
              <w:rPr>
                <w:rFonts w:ascii="仿宋" w:hAnsi="仿宋" w:eastAsia="仿宋" w:cs="仿宋"/>
                <w:szCs w:val="21"/>
              </w:rPr>
            </w:pPr>
            <w:r>
              <w:rPr>
                <w:rFonts w:hint="eastAsia" w:ascii="仿宋" w:hAnsi="仿宋" w:eastAsia="仿宋" w:cs="仿宋"/>
                <w:szCs w:val="21"/>
              </w:rPr>
              <w:t>2.3证明材料：小微企业应当出具《中小企业声明函》，残疾人福利性单位应当出具《残疾人福利性单位声明函》，监狱企业应当提供由省级以上监狱管理局、戒毒管理局（含新疆生产建设兵团）出具的属于监狱企业的证明文件，否则不享受价格扣除优惠政策。投标人提供声明函内容不实的，或者提供属于监狱企业的证明文件不真实的，属于提供虚假材料谋取中标，将依照《中华人民共和国政府采购法》等国家有关规定追究相应责任。</w:t>
            </w:r>
          </w:p>
        </w:tc>
      </w:tr>
    </w:tbl>
    <w:p w14:paraId="323D69E7">
      <w:pPr>
        <w:pStyle w:val="3"/>
        <w:wordWrap w:val="0"/>
        <w:rPr>
          <w:rFonts w:ascii="仿宋" w:hAnsi="仿宋" w:eastAsia="仿宋" w:cs="仿宋"/>
        </w:rPr>
      </w:pPr>
    </w:p>
    <w:p w14:paraId="79148753">
      <w:pPr>
        <w:wordWrap w:val="0"/>
        <w:rPr>
          <w:rFonts w:ascii="仿宋" w:hAnsi="仿宋" w:eastAsia="仿宋" w:cs="仿宋"/>
          <w:sz w:val="28"/>
          <w:szCs w:val="28"/>
        </w:rPr>
      </w:pPr>
    </w:p>
    <w:sectPr>
      <w:headerReference r:id="rId3" w:type="default"/>
      <w:footerReference r:id="rId4" w:type="default"/>
      <w:pgSz w:w="11906" w:h="16838"/>
      <w:pgMar w:top="1417" w:right="1417" w:bottom="1417" w:left="1417" w:header="567" w:footer="56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97B0A">
    <w:pPr>
      <w:pStyle w:val="18"/>
      <w:tabs>
        <w:tab w:val="center" w:pos="4535"/>
        <w:tab w:val="right" w:pos="8830"/>
      </w:tabs>
      <w:ind w:right="360"/>
      <w:rPr>
        <w:rFonts w:ascii="仿宋_GB2312" w:hAnsi="仿宋_GB2312" w:eastAsia="仿宋_GB2312" w:cs="仿宋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6581A6">
                          <w:pPr>
                            <w:pStyle w:val="1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96581A6">
                    <w:pPr>
                      <w:pStyle w:val="18"/>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仿宋_GB2312" w:hAnsi="仿宋_GB2312" w:eastAsia="仿宋_GB2312" w:cs="仿宋_GB2312"/>
      </w:rPr>
      <w:tab/>
    </w:r>
    <w:r>
      <w:rPr>
        <w:rFonts w:hint="eastAsia" w:ascii="仿宋_GB2312" w:hAnsi="仿宋_GB2312" w:eastAsia="仿宋_GB2312" w:cs="仿宋_GB2312"/>
      </w:rPr>
      <w:tab/>
    </w:r>
  </w:p>
  <w:p w14:paraId="3EA215CF">
    <w:pPr>
      <w:pStyle w:val="18"/>
      <w:tabs>
        <w:tab w:val="center" w:pos="4535"/>
        <w:tab w:val="right" w:pos="8830"/>
      </w:tabs>
      <w:jc w:val="right"/>
      <w:rPr>
        <w:rFonts w:ascii="仿宋" w:hAnsi="仿宋" w:eastAsia="仿宋" w:cs="仿宋"/>
      </w:rPr>
    </w:pPr>
    <w:r>
      <w:rPr>
        <w:rFonts w:hint="eastAsia" w:ascii="仿宋_GB2312" w:hAnsi="仿宋_GB2312" w:eastAsia="仿宋_GB2312" w:cs="仿宋_GB2312"/>
      </w:rPr>
      <w:tab/>
    </w:r>
    <w:r>
      <w:rPr>
        <w:rFonts w:hint="eastAsia" w:ascii="仿宋_GB2312" w:hAnsi="仿宋_GB2312" w:eastAsia="仿宋_GB2312" w:cs="仿宋_GB2312"/>
      </w:rPr>
      <w:tab/>
    </w:r>
    <w:r>
      <w:rPr>
        <w:rFonts w:ascii="仿宋_GB2312" w:hAnsi="仿宋_GB2312" w:eastAsia="仿宋_GB2312" w:cs="仿宋_GB2312"/>
      </w:rPr>
      <w:pict>
        <v:shape id="文本框 62" o:spid="_x0000_s3074" o:spt="202" type="#_x0000_t202" style="position:absolute;left:0pt;margin-left:221.5pt;margin-top:-20.9pt;height:12.05pt;width:9.05pt;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14:paraId="61C812CF"/>
            </w:txbxContent>
          </v:textbox>
        </v:shape>
      </w:pict>
    </w:r>
    <w:r>
      <w:rPr>
        <w:rFonts w:hint="eastAsia" w:ascii="仿宋_GB2312" w:hAnsi="仿宋_GB2312" w:eastAsia="仿宋_GB2312" w:cs="仿宋_GB231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64CA7">
    <w:pPr>
      <w:pStyle w:val="20"/>
      <w:pBdr>
        <w:bottom w:val="none" w:color="auto" w:sz="0" w:space="0"/>
      </w:pBdr>
      <w:spacing w:line="500" w:lineRule="exact"/>
      <w:jc w:val="both"/>
      <w:rPr>
        <w:rFonts w:ascii="仿宋_GB2312" w:hAnsi="仿宋_GB2312" w:eastAsia="仿宋_GB2312" w:cs="仿宋_GB2312"/>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0NzcwMzdiNzdlZWU5NDdjOWU4ZDgzYjZkYTAzYTQifQ=="/>
  </w:docVars>
  <w:rsids>
    <w:rsidRoot w:val="00172A27"/>
    <w:rsid w:val="00020783"/>
    <w:rsid w:val="00057B9B"/>
    <w:rsid w:val="000B5806"/>
    <w:rsid w:val="00110C2C"/>
    <w:rsid w:val="00117D8C"/>
    <w:rsid w:val="00172A27"/>
    <w:rsid w:val="00172B7D"/>
    <w:rsid w:val="001744E4"/>
    <w:rsid w:val="001B433B"/>
    <w:rsid w:val="001B5EDB"/>
    <w:rsid w:val="001D7F72"/>
    <w:rsid w:val="002215D5"/>
    <w:rsid w:val="002255B9"/>
    <w:rsid w:val="0024686A"/>
    <w:rsid w:val="002532B4"/>
    <w:rsid w:val="003007C3"/>
    <w:rsid w:val="00323A7D"/>
    <w:rsid w:val="003573E6"/>
    <w:rsid w:val="003E5988"/>
    <w:rsid w:val="00431EEB"/>
    <w:rsid w:val="004E70D7"/>
    <w:rsid w:val="00534F1D"/>
    <w:rsid w:val="00561367"/>
    <w:rsid w:val="005666FE"/>
    <w:rsid w:val="005B6E83"/>
    <w:rsid w:val="005E0A4E"/>
    <w:rsid w:val="00601E5B"/>
    <w:rsid w:val="00664055"/>
    <w:rsid w:val="006643FD"/>
    <w:rsid w:val="00747C72"/>
    <w:rsid w:val="00767FB4"/>
    <w:rsid w:val="0078349A"/>
    <w:rsid w:val="00787654"/>
    <w:rsid w:val="007A6EC4"/>
    <w:rsid w:val="00901C11"/>
    <w:rsid w:val="00905148"/>
    <w:rsid w:val="009174A3"/>
    <w:rsid w:val="00931C3E"/>
    <w:rsid w:val="00942A9E"/>
    <w:rsid w:val="0099032D"/>
    <w:rsid w:val="00995935"/>
    <w:rsid w:val="009B1EEB"/>
    <w:rsid w:val="009F3018"/>
    <w:rsid w:val="00AB400A"/>
    <w:rsid w:val="00AE1D30"/>
    <w:rsid w:val="00AE2FB3"/>
    <w:rsid w:val="00B35F9D"/>
    <w:rsid w:val="00B46D0E"/>
    <w:rsid w:val="00B8646B"/>
    <w:rsid w:val="00B95C15"/>
    <w:rsid w:val="00BB240E"/>
    <w:rsid w:val="00BC3B74"/>
    <w:rsid w:val="00BC3E33"/>
    <w:rsid w:val="00BF6C3A"/>
    <w:rsid w:val="00C86D7D"/>
    <w:rsid w:val="00CD6B44"/>
    <w:rsid w:val="00CE60C0"/>
    <w:rsid w:val="00D11579"/>
    <w:rsid w:val="00DB7125"/>
    <w:rsid w:val="00DE7249"/>
    <w:rsid w:val="00E00BE0"/>
    <w:rsid w:val="00E15090"/>
    <w:rsid w:val="00E6123C"/>
    <w:rsid w:val="00E82FFE"/>
    <w:rsid w:val="00E83807"/>
    <w:rsid w:val="00E94729"/>
    <w:rsid w:val="00EA1AFA"/>
    <w:rsid w:val="00EA2C90"/>
    <w:rsid w:val="00EC4DB0"/>
    <w:rsid w:val="00ED1F30"/>
    <w:rsid w:val="00F709A6"/>
    <w:rsid w:val="01815B2E"/>
    <w:rsid w:val="034234DB"/>
    <w:rsid w:val="035E2688"/>
    <w:rsid w:val="03C76C25"/>
    <w:rsid w:val="0414710D"/>
    <w:rsid w:val="047C321C"/>
    <w:rsid w:val="04A07D0F"/>
    <w:rsid w:val="04AB3B8E"/>
    <w:rsid w:val="04BD5577"/>
    <w:rsid w:val="04D205A7"/>
    <w:rsid w:val="05054488"/>
    <w:rsid w:val="05BC4C9E"/>
    <w:rsid w:val="05FE23E4"/>
    <w:rsid w:val="06035B45"/>
    <w:rsid w:val="06655144"/>
    <w:rsid w:val="067E0E08"/>
    <w:rsid w:val="07286C66"/>
    <w:rsid w:val="07925CFB"/>
    <w:rsid w:val="07E51D9F"/>
    <w:rsid w:val="07F059D2"/>
    <w:rsid w:val="07FD736A"/>
    <w:rsid w:val="0824701C"/>
    <w:rsid w:val="083F4BC4"/>
    <w:rsid w:val="088910C0"/>
    <w:rsid w:val="08894C98"/>
    <w:rsid w:val="088E60FE"/>
    <w:rsid w:val="09371E95"/>
    <w:rsid w:val="09430B07"/>
    <w:rsid w:val="098B5F5E"/>
    <w:rsid w:val="0A140428"/>
    <w:rsid w:val="0A8E0A57"/>
    <w:rsid w:val="0C167702"/>
    <w:rsid w:val="0CAB11B6"/>
    <w:rsid w:val="0CB34B85"/>
    <w:rsid w:val="0D0129AA"/>
    <w:rsid w:val="0D7A5BE2"/>
    <w:rsid w:val="0D964C6B"/>
    <w:rsid w:val="0DBD71D6"/>
    <w:rsid w:val="0E414023"/>
    <w:rsid w:val="0E4F6AF3"/>
    <w:rsid w:val="0E5F289F"/>
    <w:rsid w:val="0E8514BB"/>
    <w:rsid w:val="0EAA4735"/>
    <w:rsid w:val="0FA1278C"/>
    <w:rsid w:val="0FBD0115"/>
    <w:rsid w:val="0FD569F2"/>
    <w:rsid w:val="0FFE6C2E"/>
    <w:rsid w:val="103370E0"/>
    <w:rsid w:val="103415D5"/>
    <w:rsid w:val="104F3161"/>
    <w:rsid w:val="10657E54"/>
    <w:rsid w:val="109C7F8D"/>
    <w:rsid w:val="1188094C"/>
    <w:rsid w:val="11F34BB0"/>
    <w:rsid w:val="1221348A"/>
    <w:rsid w:val="12461229"/>
    <w:rsid w:val="12C2162F"/>
    <w:rsid w:val="12F35844"/>
    <w:rsid w:val="131478BC"/>
    <w:rsid w:val="14023AAA"/>
    <w:rsid w:val="14580454"/>
    <w:rsid w:val="14DF082A"/>
    <w:rsid w:val="15B6280D"/>
    <w:rsid w:val="15DA2525"/>
    <w:rsid w:val="15DB706A"/>
    <w:rsid w:val="15E74C42"/>
    <w:rsid w:val="16017A3A"/>
    <w:rsid w:val="16A17E04"/>
    <w:rsid w:val="16E4776E"/>
    <w:rsid w:val="17500752"/>
    <w:rsid w:val="17B9418E"/>
    <w:rsid w:val="17CD356D"/>
    <w:rsid w:val="18396E02"/>
    <w:rsid w:val="184533EC"/>
    <w:rsid w:val="185D2F9A"/>
    <w:rsid w:val="18941071"/>
    <w:rsid w:val="189A5F9C"/>
    <w:rsid w:val="18BF504F"/>
    <w:rsid w:val="18E15979"/>
    <w:rsid w:val="193D062C"/>
    <w:rsid w:val="19632832"/>
    <w:rsid w:val="197F047F"/>
    <w:rsid w:val="1A0C4C78"/>
    <w:rsid w:val="1A1F18F9"/>
    <w:rsid w:val="1A5B79AD"/>
    <w:rsid w:val="1A673641"/>
    <w:rsid w:val="1A7D4672"/>
    <w:rsid w:val="1A886B8B"/>
    <w:rsid w:val="1A90070A"/>
    <w:rsid w:val="1A930724"/>
    <w:rsid w:val="1AAB787A"/>
    <w:rsid w:val="1B42104B"/>
    <w:rsid w:val="1B5200E9"/>
    <w:rsid w:val="1B935DAE"/>
    <w:rsid w:val="1BA22955"/>
    <w:rsid w:val="1BA46A32"/>
    <w:rsid w:val="1BA97B51"/>
    <w:rsid w:val="1C0C1E88"/>
    <w:rsid w:val="1C68772B"/>
    <w:rsid w:val="1C783424"/>
    <w:rsid w:val="1C907A23"/>
    <w:rsid w:val="1CAC57CC"/>
    <w:rsid w:val="1D365E50"/>
    <w:rsid w:val="1DAE6D42"/>
    <w:rsid w:val="1E0D04D5"/>
    <w:rsid w:val="1E6A6509"/>
    <w:rsid w:val="1E7124FB"/>
    <w:rsid w:val="1E7E1EBC"/>
    <w:rsid w:val="1E9F3C75"/>
    <w:rsid w:val="1ED87B78"/>
    <w:rsid w:val="1F0667C5"/>
    <w:rsid w:val="1F29296D"/>
    <w:rsid w:val="1F464E6F"/>
    <w:rsid w:val="1FE80CD6"/>
    <w:rsid w:val="20182A15"/>
    <w:rsid w:val="20360CA0"/>
    <w:rsid w:val="20690CA2"/>
    <w:rsid w:val="208D2349"/>
    <w:rsid w:val="20942B80"/>
    <w:rsid w:val="20A96CB3"/>
    <w:rsid w:val="212B7C94"/>
    <w:rsid w:val="219519F6"/>
    <w:rsid w:val="21BF2E98"/>
    <w:rsid w:val="21CD4079"/>
    <w:rsid w:val="227814AB"/>
    <w:rsid w:val="22851A6B"/>
    <w:rsid w:val="228C15A0"/>
    <w:rsid w:val="22AF7934"/>
    <w:rsid w:val="230230BC"/>
    <w:rsid w:val="230425BE"/>
    <w:rsid w:val="232B0EB4"/>
    <w:rsid w:val="237607F8"/>
    <w:rsid w:val="237744CA"/>
    <w:rsid w:val="23AC2838"/>
    <w:rsid w:val="23DB39BF"/>
    <w:rsid w:val="24541072"/>
    <w:rsid w:val="245E02DF"/>
    <w:rsid w:val="249209B3"/>
    <w:rsid w:val="24CB7AAA"/>
    <w:rsid w:val="24D10F97"/>
    <w:rsid w:val="252A1B0C"/>
    <w:rsid w:val="252B7076"/>
    <w:rsid w:val="255A7E62"/>
    <w:rsid w:val="25745407"/>
    <w:rsid w:val="258F2832"/>
    <w:rsid w:val="25B42A47"/>
    <w:rsid w:val="25F31662"/>
    <w:rsid w:val="25F77708"/>
    <w:rsid w:val="26526609"/>
    <w:rsid w:val="27AA4A36"/>
    <w:rsid w:val="28072F22"/>
    <w:rsid w:val="28142622"/>
    <w:rsid w:val="28373807"/>
    <w:rsid w:val="28487017"/>
    <w:rsid w:val="28496488"/>
    <w:rsid w:val="289A78F2"/>
    <w:rsid w:val="28B704A4"/>
    <w:rsid w:val="28C663B4"/>
    <w:rsid w:val="28FA2CBE"/>
    <w:rsid w:val="29570FFC"/>
    <w:rsid w:val="29634188"/>
    <w:rsid w:val="29C15203"/>
    <w:rsid w:val="29FC1B45"/>
    <w:rsid w:val="2A282A72"/>
    <w:rsid w:val="2A297180"/>
    <w:rsid w:val="2A572BC4"/>
    <w:rsid w:val="2A7E06E7"/>
    <w:rsid w:val="2A8820F8"/>
    <w:rsid w:val="2B6A5588"/>
    <w:rsid w:val="2BF02578"/>
    <w:rsid w:val="2BF433D6"/>
    <w:rsid w:val="2C0C7A5C"/>
    <w:rsid w:val="2C877820"/>
    <w:rsid w:val="2D1E4F96"/>
    <w:rsid w:val="2D2A00C6"/>
    <w:rsid w:val="2D376B87"/>
    <w:rsid w:val="2DA62014"/>
    <w:rsid w:val="2E2E03C0"/>
    <w:rsid w:val="2E5B0B34"/>
    <w:rsid w:val="2EA44CEC"/>
    <w:rsid w:val="2EC27BA3"/>
    <w:rsid w:val="2EF75C6E"/>
    <w:rsid w:val="2F2874FF"/>
    <w:rsid w:val="2F4A2072"/>
    <w:rsid w:val="2F6133E0"/>
    <w:rsid w:val="2FA91AE6"/>
    <w:rsid w:val="30634486"/>
    <w:rsid w:val="307F24CB"/>
    <w:rsid w:val="308A70E0"/>
    <w:rsid w:val="31045716"/>
    <w:rsid w:val="31075FFE"/>
    <w:rsid w:val="31120E7F"/>
    <w:rsid w:val="313A08D3"/>
    <w:rsid w:val="319F6C13"/>
    <w:rsid w:val="31CD2206"/>
    <w:rsid w:val="32992E00"/>
    <w:rsid w:val="33093FF2"/>
    <w:rsid w:val="33105381"/>
    <w:rsid w:val="33331862"/>
    <w:rsid w:val="33611CC9"/>
    <w:rsid w:val="33B31FA3"/>
    <w:rsid w:val="33E157A2"/>
    <w:rsid w:val="340E305A"/>
    <w:rsid w:val="341826DE"/>
    <w:rsid w:val="34B35DD2"/>
    <w:rsid w:val="34D96F18"/>
    <w:rsid w:val="35AA4FE6"/>
    <w:rsid w:val="36592B9B"/>
    <w:rsid w:val="36B14B6B"/>
    <w:rsid w:val="36CD0EB1"/>
    <w:rsid w:val="36FF5AB2"/>
    <w:rsid w:val="37A6764C"/>
    <w:rsid w:val="3851252E"/>
    <w:rsid w:val="388471D9"/>
    <w:rsid w:val="38A5381D"/>
    <w:rsid w:val="38B22A36"/>
    <w:rsid w:val="38D217D6"/>
    <w:rsid w:val="38F77C64"/>
    <w:rsid w:val="3907457A"/>
    <w:rsid w:val="390F0D75"/>
    <w:rsid w:val="3A127C30"/>
    <w:rsid w:val="3A1901CB"/>
    <w:rsid w:val="3A287995"/>
    <w:rsid w:val="3ABF72CC"/>
    <w:rsid w:val="3ACA5A4A"/>
    <w:rsid w:val="3B223EA3"/>
    <w:rsid w:val="3B247951"/>
    <w:rsid w:val="3B6A041F"/>
    <w:rsid w:val="3B9618EF"/>
    <w:rsid w:val="3BB645EB"/>
    <w:rsid w:val="3C0241E1"/>
    <w:rsid w:val="3C28373B"/>
    <w:rsid w:val="3CB234E8"/>
    <w:rsid w:val="3CE10F83"/>
    <w:rsid w:val="3D5045B0"/>
    <w:rsid w:val="3D785757"/>
    <w:rsid w:val="3DB508FA"/>
    <w:rsid w:val="3DD83AD6"/>
    <w:rsid w:val="3DFE7834"/>
    <w:rsid w:val="3E0B4AB9"/>
    <w:rsid w:val="3E544585"/>
    <w:rsid w:val="3F560BDE"/>
    <w:rsid w:val="3FF35317"/>
    <w:rsid w:val="403C00A3"/>
    <w:rsid w:val="40B50AA3"/>
    <w:rsid w:val="41F62887"/>
    <w:rsid w:val="420B4C70"/>
    <w:rsid w:val="420E605D"/>
    <w:rsid w:val="42204EB5"/>
    <w:rsid w:val="42AC65BB"/>
    <w:rsid w:val="430D4B1D"/>
    <w:rsid w:val="43506B61"/>
    <w:rsid w:val="43672D9B"/>
    <w:rsid w:val="43F05D97"/>
    <w:rsid w:val="44322593"/>
    <w:rsid w:val="446504F5"/>
    <w:rsid w:val="455235D7"/>
    <w:rsid w:val="45886FF9"/>
    <w:rsid w:val="45A112D8"/>
    <w:rsid w:val="45BC01E7"/>
    <w:rsid w:val="45F668E3"/>
    <w:rsid w:val="463673DA"/>
    <w:rsid w:val="46E325D7"/>
    <w:rsid w:val="475A55E0"/>
    <w:rsid w:val="477535AD"/>
    <w:rsid w:val="47911035"/>
    <w:rsid w:val="47C825DC"/>
    <w:rsid w:val="47D429C9"/>
    <w:rsid w:val="47F12D6E"/>
    <w:rsid w:val="48144482"/>
    <w:rsid w:val="486C62CA"/>
    <w:rsid w:val="488608F0"/>
    <w:rsid w:val="48BF0AAE"/>
    <w:rsid w:val="48E565EA"/>
    <w:rsid w:val="49107A31"/>
    <w:rsid w:val="492369B6"/>
    <w:rsid w:val="499D7AEC"/>
    <w:rsid w:val="49C41A1A"/>
    <w:rsid w:val="49C66812"/>
    <w:rsid w:val="4A2D7D16"/>
    <w:rsid w:val="4A322454"/>
    <w:rsid w:val="4A5B069F"/>
    <w:rsid w:val="4A7776E1"/>
    <w:rsid w:val="4A8054AD"/>
    <w:rsid w:val="4A9737BD"/>
    <w:rsid w:val="4B01040D"/>
    <w:rsid w:val="4B0709D4"/>
    <w:rsid w:val="4B104AC3"/>
    <w:rsid w:val="4B3C4044"/>
    <w:rsid w:val="4B786D9F"/>
    <w:rsid w:val="4C4F6DF2"/>
    <w:rsid w:val="4C5639AD"/>
    <w:rsid w:val="4C863EB5"/>
    <w:rsid w:val="4CD6386C"/>
    <w:rsid w:val="4CDE7097"/>
    <w:rsid w:val="4D2C773F"/>
    <w:rsid w:val="4D954541"/>
    <w:rsid w:val="4DC4528E"/>
    <w:rsid w:val="4E1D1F4D"/>
    <w:rsid w:val="4F0F4DC6"/>
    <w:rsid w:val="4F5B5D3D"/>
    <w:rsid w:val="4FB71BCA"/>
    <w:rsid w:val="50276057"/>
    <w:rsid w:val="505C4C31"/>
    <w:rsid w:val="505F4D18"/>
    <w:rsid w:val="508E6C6C"/>
    <w:rsid w:val="50BB4C49"/>
    <w:rsid w:val="510A1419"/>
    <w:rsid w:val="518F7605"/>
    <w:rsid w:val="51986815"/>
    <w:rsid w:val="51D21471"/>
    <w:rsid w:val="522E2CD6"/>
    <w:rsid w:val="52F53AD6"/>
    <w:rsid w:val="533974BB"/>
    <w:rsid w:val="54223F8F"/>
    <w:rsid w:val="5445003E"/>
    <w:rsid w:val="54E21478"/>
    <w:rsid w:val="54E868F0"/>
    <w:rsid w:val="55193E3E"/>
    <w:rsid w:val="55BF2421"/>
    <w:rsid w:val="55DD5CB4"/>
    <w:rsid w:val="55FC1C3D"/>
    <w:rsid w:val="56356F1C"/>
    <w:rsid w:val="564603D0"/>
    <w:rsid w:val="56A2060F"/>
    <w:rsid w:val="56C66CC8"/>
    <w:rsid w:val="576D2893"/>
    <w:rsid w:val="57802B2D"/>
    <w:rsid w:val="588F56AB"/>
    <w:rsid w:val="58C25EDA"/>
    <w:rsid w:val="58EE091D"/>
    <w:rsid w:val="5A1074AA"/>
    <w:rsid w:val="5A395C75"/>
    <w:rsid w:val="5ABF4E13"/>
    <w:rsid w:val="5AC46466"/>
    <w:rsid w:val="5ADF0793"/>
    <w:rsid w:val="5AE821C4"/>
    <w:rsid w:val="5AFE3D05"/>
    <w:rsid w:val="5B0238E8"/>
    <w:rsid w:val="5B267158"/>
    <w:rsid w:val="5B4928E5"/>
    <w:rsid w:val="5B563617"/>
    <w:rsid w:val="5BB61343"/>
    <w:rsid w:val="5BE416CB"/>
    <w:rsid w:val="5BED6B9F"/>
    <w:rsid w:val="5C10725C"/>
    <w:rsid w:val="5C7074C0"/>
    <w:rsid w:val="5C8A56BD"/>
    <w:rsid w:val="5CA328DA"/>
    <w:rsid w:val="5CB44D92"/>
    <w:rsid w:val="5D8D0B83"/>
    <w:rsid w:val="5D8F6D1E"/>
    <w:rsid w:val="5E001243"/>
    <w:rsid w:val="5F4C0C3F"/>
    <w:rsid w:val="5FB03608"/>
    <w:rsid w:val="5FE16C13"/>
    <w:rsid w:val="600462E9"/>
    <w:rsid w:val="61082599"/>
    <w:rsid w:val="610E618C"/>
    <w:rsid w:val="62223E55"/>
    <w:rsid w:val="623C6630"/>
    <w:rsid w:val="624975E6"/>
    <w:rsid w:val="62B96E0F"/>
    <w:rsid w:val="62C5706B"/>
    <w:rsid w:val="62DD5C5C"/>
    <w:rsid w:val="63970DA8"/>
    <w:rsid w:val="63B22575"/>
    <w:rsid w:val="64050400"/>
    <w:rsid w:val="641A33FB"/>
    <w:rsid w:val="645E38EF"/>
    <w:rsid w:val="64B93158"/>
    <w:rsid w:val="651B358E"/>
    <w:rsid w:val="654937F6"/>
    <w:rsid w:val="65493C5E"/>
    <w:rsid w:val="656E42DC"/>
    <w:rsid w:val="65B10429"/>
    <w:rsid w:val="66082C22"/>
    <w:rsid w:val="660A5ADC"/>
    <w:rsid w:val="66272079"/>
    <w:rsid w:val="66545ACB"/>
    <w:rsid w:val="66552ACF"/>
    <w:rsid w:val="66B235D0"/>
    <w:rsid w:val="66C35DEC"/>
    <w:rsid w:val="66D31829"/>
    <w:rsid w:val="66E61434"/>
    <w:rsid w:val="6737202F"/>
    <w:rsid w:val="678E0047"/>
    <w:rsid w:val="67D41BBB"/>
    <w:rsid w:val="683F17BD"/>
    <w:rsid w:val="684E7185"/>
    <w:rsid w:val="68827FD8"/>
    <w:rsid w:val="68C006D4"/>
    <w:rsid w:val="6A5D278F"/>
    <w:rsid w:val="6A9074D4"/>
    <w:rsid w:val="6AF0123B"/>
    <w:rsid w:val="6C0B7D3C"/>
    <w:rsid w:val="6C394B57"/>
    <w:rsid w:val="6C7E2EEE"/>
    <w:rsid w:val="6DA03D55"/>
    <w:rsid w:val="6DFF1E89"/>
    <w:rsid w:val="6E4D2017"/>
    <w:rsid w:val="6EC81447"/>
    <w:rsid w:val="6ECA4D0E"/>
    <w:rsid w:val="6EEC4BEB"/>
    <w:rsid w:val="6F260F2F"/>
    <w:rsid w:val="6FCA7F64"/>
    <w:rsid w:val="6FE800F4"/>
    <w:rsid w:val="70424B92"/>
    <w:rsid w:val="704F7A4A"/>
    <w:rsid w:val="708F6F84"/>
    <w:rsid w:val="714140C0"/>
    <w:rsid w:val="71F4055B"/>
    <w:rsid w:val="72225F5B"/>
    <w:rsid w:val="72233951"/>
    <w:rsid w:val="72C36EB5"/>
    <w:rsid w:val="72C40135"/>
    <w:rsid w:val="72D97771"/>
    <w:rsid w:val="730F6E41"/>
    <w:rsid w:val="73891547"/>
    <w:rsid w:val="73FD6238"/>
    <w:rsid w:val="74065409"/>
    <w:rsid w:val="74B44E65"/>
    <w:rsid w:val="74B6677D"/>
    <w:rsid w:val="74FF2584"/>
    <w:rsid w:val="753D79F4"/>
    <w:rsid w:val="760442A1"/>
    <w:rsid w:val="76060CBE"/>
    <w:rsid w:val="76356EC0"/>
    <w:rsid w:val="768E1CA9"/>
    <w:rsid w:val="76AC04E9"/>
    <w:rsid w:val="773D0155"/>
    <w:rsid w:val="77444479"/>
    <w:rsid w:val="774833F7"/>
    <w:rsid w:val="776D5ECB"/>
    <w:rsid w:val="778B466B"/>
    <w:rsid w:val="7880372E"/>
    <w:rsid w:val="79A731EA"/>
    <w:rsid w:val="79D3516D"/>
    <w:rsid w:val="79DB025F"/>
    <w:rsid w:val="79F7704F"/>
    <w:rsid w:val="7A460B98"/>
    <w:rsid w:val="7AC167BC"/>
    <w:rsid w:val="7B292109"/>
    <w:rsid w:val="7B921850"/>
    <w:rsid w:val="7BA06E2D"/>
    <w:rsid w:val="7BB42706"/>
    <w:rsid w:val="7BC61AB2"/>
    <w:rsid w:val="7BE91898"/>
    <w:rsid w:val="7C14224A"/>
    <w:rsid w:val="7C4D6FA2"/>
    <w:rsid w:val="7C8F3DFF"/>
    <w:rsid w:val="7C90468B"/>
    <w:rsid w:val="7CB65C1E"/>
    <w:rsid w:val="7D083FA0"/>
    <w:rsid w:val="7D0F0CFA"/>
    <w:rsid w:val="7DF434E9"/>
    <w:rsid w:val="7E13766B"/>
    <w:rsid w:val="7E207940"/>
    <w:rsid w:val="7E45410E"/>
    <w:rsid w:val="7EB77CC7"/>
    <w:rsid w:val="7ED60422"/>
    <w:rsid w:val="7F1D1EB6"/>
    <w:rsid w:val="7F315F41"/>
    <w:rsid w:val="7F633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rFonts w:eastAsia="仿宋_GB2312"/>
      <w:b/>
      <w:bCs/>
      <w:kern w:val="44"/>
      <w:sz w:val="28"/>
      <w:szCs w:val="44"/>
    </w:rPr>
  </w:style>
  <w:style w:type="paragraph" w:styleId="5">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6">
    <w:name w:val="heading 3"/>
    <w:basedOn w:val="1"/>
    <w:next w:val="1"/>
    <w:qFormat/>
    <w:uiPriority w:val="0"/>
    <w:pPr>
      <w:keepNext/>
      <w:outlineLvl w:val="2"/>
    </w:pPr>
    <w:rPr>
      <w:rFonts w:ascii="楷体_GB2312" w:hAnsi="宋体" w:eastAsia="楷体_GB2312"/>
      <w:b/>
      <w:bCs/>
      <w:sz w:val="32"/>
    </w:rPr>
  </w:style>
  <w:style w:type="paragraph" w:styleId="7">
    <w:name w:val="heading 4"/>
    <w:basedOn w:val="1"/>
    <w:next w:val="1"/>
    <w:qFormat/>
    <w:uiPriority w:val="0"/>
    <w:pPr>
      <w:keepNext/>
      <w:spacing w:line="460" w:lineRule="exact"/>
      <w:outlineLvl w:val="3"/>
    </w:pPr>
    <w:rPr>
      <w:rFonts w:ascii="宋体" w:hAnsi="宋体"/>
      <w:sz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
    <w:name w:val="Body Text"/>
    <w:basedOn w:val="1"/>
    <w:next w:val="1"/>
    <w:qFormat/>
    <w:uiPriority w:val="0"/>
    <w:pPr>
      <w:spacing w:line="460" w:lineRule="exact"/>
    </w:pPr>
    <w:rPr>
      <w:rFonts w:ascii="宋体" w:hAnsi="宋体"/>
      <w:sz w:val="24"/>
    </w:rPr>
  </w:style>
  <w:style w:type="paragraph" w:styleId="8">
    <w:name w:val="table of authorities"/>
    <w:basedOn w:val="1"/>
    <w:next w:val="1"/>
    <w:semiHidden/>
    <w:unhideWhenUsed/>
    <w:qFormat/>
    <w:uiPriority w:val="99"/>
    <w:pPr>
      <w:ind w:left="420" w:leftChars="200"/>
    </w:pPr>
  </w:style>
  <w:style w:type="paragraph" w:styleId="9">
    <w:name w:val="Normal Indent"/>
    <w:basedOn w:val="1"/>
    <w:next w:val="1"/>
    <w:qFormat/>
    <w:uiPriority w:val="0"/>
    <w:pPr>
      <w:spacing w:line="300" w:lineRule="auto"/>
      <w:ind w:firstLine="420" w:firstLineChars="200"/>
    </w:pPr>
  </w:style>
  <w:style w:type="paragraph" w:styleId="10">
    <w:name w:val="Document Map"/>
    <w:basedOn w:val="1"/>
    <w:unhideWhenUsed/>
    <w:qFormat/>
    <w:uiPriority w:val="0"/>
    <w:pPr>
      <w:shd w:val="clear" w:color="auto" w:fill="000080"/>
    </w:pPr>
    <w:rPr>
      <w:kern w:val="0"/>
      <w:sz w:val="20"/>
    </w:rPr>
  </w:style>
  <w:style w:type="paragraph" w:styleId="11">
    <w:name w:val="toa heading"/>
    <w:basedOn w:val="1"/>
    <w:next w:val="1"/>
    <w:unhideWhenUsed/>
    <w:qFormat/>
    <w:uiPriority w:val="0"/>
    <w:pPr>
      <w:spacing w:before="120"/>
    </w:pPr>
    <w:rPr>
      <w:rFonts w:ascii="Arial" w:hAnsi="Arial" w:cs="Arial"/>
      <w:sz w:val="24"/>
    </w:rPr>
  </w:style>
  <w:style w:type="paragraph" w:styleId="12">
    <w:name w:val="annotation text"/>
    <w:basedOn w:val="1"/>
    <w:link w:val="43"/>
    <w:qFormat/>
    <w:uiPriority w:val="0"/>
    <w:pPr>
      <w:widowControl/>
      <w:jc w:val="left"/>
    </w:pPr>
    <w:rPr>
      <w:kern w:val="0"/>
      <w:szCs w:val="20"/>
    </w:rPr>
  </w:style>
  <w:style w:type="paragraph" w:styleId="13">
    <w:name w:val="Body Text Indent"/>
    <w:basedOn w:val="1"/>
    <w:next w:val="14"/>
    <w:qFormat/>
    <w:uiPriority w:val="0"/>
    <w:pPr>
      <w:ind w:firstLine="570"/>
    </w:pPr>
    <w:rPr>
      <w:rFonts w:ascii="宋体" w:hAnsi="宋体"/>
      <w:sz w:val="28"/>
      <w:szCs w:val="20"/>
    </w:rPr>
  </w:style>
  <w:style w:type="paragraph" w:styleId="14">
    <w:name w:val="Body Text First Indent 2"/>
    <w:basedOn w:val="13"/>
    <w:next w:val="1"/>
    <w:qFormat/>
    <w:uiPriority w:val="0"/>
    <w:pPr>
      <w:ind w:firstLine="420" w:firstLineChars="200"/>
    </w:pPr>
  </w:style>
  <w:style w:type="paragraph" w:styleId="15">
    <w:name w:val="toc 3"/>
    <w:basedOn w:val="1"/>
    <w:next w:val="1"/>
    <w:qFormat/>
    <w:uiPriority w:val="0"/>
    <w:pPr>
      <w:ind w:left="840" w:leftChars="400"/>
    </w:pPr>
  </w:style>
  <w:style w:type="paragraph" w:styleId="16">
    <w:name w:val="Plain Text"/>
    <w:basedOn w:val="1"/>
    <w:next w:val="1"/>
    <w:qFormat/>
    <w:uiPriority w:val="0"/>
    <w:pPr>
      <w:spacing w:line="360" w:lineRule="auto"/>
      <w:ind w:firstLine="510"/>
    </w:pPr>
    <w:rPr>
      <w:rFonts w:ascii="宋体" w:hAnsi="Courier New"/>
      <w:sz w:val="24"/>
      <w:szCs w:val="20"/>
    </w:rPr>
  </w:style>
  <w:style w:type="paragraph" w:styleId="17">
    <w:name w:val="Balloon Text"/>
    <w:basedOn w:val="1"/>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envelope return"/>
    <w:basedOn w:val="1"/>
    <w:qFormat/>
    <w:uiPriority w:val="0"/>
    <w:pPr>
      <w:snapToGrid w:val="0"/>
    </w:pPr>
    <w:rPr>
      <w:rFonts w:ascii="Arial" w:hAnsi="Arial"/>
      <w:szCs w:val="20"/>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style>
  <w:style w:type="paragraph" w:styleId="2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3">
    <w:name w:val="toc 2"/>
    <w:basedOn w:val="1"/>
    <w:next w:val="1"/>
    <w:qFormat/>
    <w:uiPriority w:val="0"/>
    <w:pPr>
      <w:tabs>
        <w:tab w:val="right" w:leader="dot" w:pos="8915"/>
      </w:tabs>
      <w:ind w:left="420" w:leftChars="200"/>
    </w:pPr>
    <w:rPr>
      <w:rFonts w:ascii="宋体" w:hAnsi="宋体"/>
      <w:b/>
      <w:bCs/>
      <w:sz w:val="28"/>
    </w:rPr>
  </w:style>
  <w:style w:type="paragraph" w:styleId="24">
    <w:name w:val="Body Text 2"/>
    <w:basedOn w:val="1"/>
    <w:qFormat/>
    <w:uiPriority w:val="0"/>
    <w:pPr>
      <w:spacing w:line="480" w:lineRule="auto"/>
    </w:pPr>
  </w:style>
  <w:style w:type="paragraph" w:styleId="25">
    <w:name w:val="Normal (Web)"/>
    <w:basedOn w:val="1"/>
    <w:qFormat/>
    <w:uiPriority w:val="99"/>
    <w:pPr>
      <w:widowControl/>
      <w:spacing w:before="100" w:beforeAutospacing="1" w:after="100" w:afterAutospacing="1"/>
      <w:jc w:val="left"/>
    </w:pPr>
    <w:rPr>
      <w:rFonts w:ascii="宋体" w:hAnsi="宋体"/>
      <w:kern w:val="0"/>
      <w:sz w:val="24"/>
    </w:rPr>
  </w:style>
  <w:style w:type="paragraph" w:styleId="26">
    <w:name w:val="annotation subject"/>
    <w:basedOn w:val="12"/>
    <w:next w:val="12"/>
    <w:link w:val="44"/>
    <w:qFormat/>
    <w:uiPriority w:val="0"/>
    <w:pPr>
      <w:widowControl w:val="0"/>
    </w:pPr>
    <w:rPr>
      <w:b/>
      <w:bCs/>
      <w:kern w:val="2"/>
      <w:szCs w:val="24"/>
    </w:rPr>
  </w:style>
  <w:style w:type="paragraph" w:styleId="27">
    <w:name w:val="Body Text First Indent"/>
    <w:basedOn w:val="3"/>
    <w:unhideWhenUsed/>
    <w:qFormat/>
    <w:uiPriority w:val="99"/>
    <w:pPr>
      <w:spacing w:after="120" w:line="240" w:lineRule="auto"/>
      <w:ind w:firstLine="420" w:firstLineChars="100"/>
    </w:pPr>
    <w:rPr>
      <w:sz w:val="21"/>
      <w:szCs w:val="22"/>
    </w:rPr>
  </w:style>
  <w:style w:type="table" w:styleId="29">
    <w:name w:val="Table Grid"/>
    <w:basedOn w:val="28"/>
    <w:qFormat/>
    <w:uiPriority w:val="0"/>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0"/>
    <w:rPr>
      <w:rFonts w:ascii="Times New Roman" w:hAnsi="Times New Roman" w:eastAsia="宋体" w:cs="Times New Roman"/>
      <w:b/>
    </w:rPr>
  </w:style>
  <w:style w:type="character" w:styleId="32">
    <w:name w:val="page number"/>
    <w:basedOn w:val="30"/>
    <w:qFormat/>
    <w:uiPriority w:val="0"/>
    <w:rPr>
      <w:rFonts w:ascii="Times New Roman" w:hAnsi="Times New Roman" w:eastAsia="宋体" w:cs="Times New Roman"/>
    </w:rPr>
  </w:style>
  <w:style w:type="character" w:styleId="33">
    <w:name w:val="FollowedHyperlink"/>
    <w:qFormat/>
    <w:uiPriority w:val="0"/>
    <w:rPr>
      <w:rFonts w:hint="eastAsia" w:ascii="微软雅黑" w:hAnsi="微软雅黑" w:eastAsia="微软雅黑" w:cs="微软雅黑"/>
      <w:color w:val="428BCA"/>
      <w:u w:val="none"/>
    </w:rPr>
  </w:style>
  <w:style w:type="character" w:styleId="34">
    <w:name w:val="HTML Definition"/>
    <w:qFormat/>
    <w:uiPriority w:val="0"/>
    <w:rPr>
      <w:rFonts w:ascii="Times New Roman" w:hAnsi="Times New Roman" w:eastAsia="宋体" w:cs="Times New Roman"/>
      <w:i/>
    </w:rPr>
  </w:style>
  <w:style w:type="character" w:styleId="35">
    <w:name w:val="Hyperlink"/>
    <w:qFormat/>
    <w:uiPriority w:val="0"/>
    <w:rPr>
      <w:rFonts w:hint="eastAsia" w:ascii="微软雅黑" w:hAnsi="微软雅黑" w:eastAsia="微软雅黑" w:cs="微软雅黑"/>
      <w:color w:val="428BCA"/>
      <w:u w:val="none"/>
    </w:rPr>
  </w:style>
  <w:style w:type="character" w:styleId="36">
    <w:name w:val="HTML Code"/>
    <w:qFormat/>
    <w:uiPriority w:val="0"/>
    <w:rPr>
      <w:rFonts w:ascii="Consolas" w:hAnsi="Consolas" w:eastAsia="Consolas" w:cs="Consolas"/>
      <w:color w:val="C7254E"/>
      <w:sz w:val="21"/>
      <w:szCs w:val="21"/>
      <w:shd w:val="clear" w:color="auto" w:fill="F9F2F4"/>
    </w:rPr>
  </w:style>
  <w:style w:type="character" w:styleId="37">
    <w:name w:val="annotation reference"/>
    <w:qFormat/>
    <w:uiPriority w:val="0"/>
    <w:rPr>
      <w:rFonts w:ascii="Times New Roman" w:hAnsi="Times New Roman" w:eastAsia="宋体" w:cs="Times New Roman"/>
      <w:sz w:val="21"/>
      <w:szCs w:val="21"/>
    </w:rPr>
  </w:style>
  <w:style w:type="character" w:styleId="38">
    <w:name w:val="HTML Keyboard"/>
    <w:qFormat/>
    <w:uiPriority w:val="0"/>
    <w:rPr>
      <w:rFonts w:hint="default" w:ascii="Consolas" w:hAnsi="Consolas" w:eastAsia="Consolas" w:cs="Consolas"/>
      <w:color w:val="FFFFFF"/>
      <w:sz w:val="21"/>
      <w:szCs w:val="21"/>
      <w:shd w:val="clear" w:color="auto" w:fill="333333"/>
    </w:rPr>
  </w:style>
  <w:style w:type="character" w:styleId="39">
    <w:name w:val="HTML Sample"/>
    <w:qFormat/>
    <w:uiPriority w:val="0"/>
    <w:rPr>
      <w:rFonts w:hint="default" w:ascii="Consolas" w:hAnsi="Consolas" w:eastAsia="Consolas" w:cs="Consolas"/>
      <w:sz w:val="21"/>
      <w:szCs w:val="21"/>
    </w:rPr>
  </w:style>
  <w:style w:type="paragraph" w:customStyle="1" w:styleId="40">
    <w:name w:val="样式3"/>
    <w:basedOn w:val="1"/>
    <w:next w:val="1"/>
    <w:qFormat/>
    <w:uiPriority w:val="0"/>
    <w:rPr>
      <w:rFonts w:ascii="宋体" w:hAnsi="宋体"/>
      <w:sz w:val="34"/>
    </w:rPr>
  </w:style>
  <w:style w:type="paragraph" w:customStyle="1" w:styleId="41">
    <w:name w:val="样式4"/>
    <w:basedOn w:val="2"/>
    <w:next w:val="1"/>
    <w:qFormat/>
    <w:uiPriority w:val="0"/>
    <w:rPr>
      <w:rFonts w:ascii="Cambria" w:hAnsi="Cambria"/>
    </w:rPr>
  </w:style>
  <w:style w:type="paragraph" w:customStyle="1" w:styleId="42">
    <w:name w:val="表格文字"/>
    <w:basedOn w:val="1"/>
    <w:next w:val="3"/>
    <w:qFormat/>
    <w:uiPriority w:val="0"/>
    <w:pPr>
      <w:spacing w:before="25" w:after="25"/>
      <w:jc w:val="left"/>
    </w:pPr>
    <w:rPr>
      <w:bCs/>
      <w:spacing w:val="10"/>
      <w:kern w:val="0"/>
      <w:sz w:val="24"/>
      <w:szCs w:val="20"/>
    </w:rPr>
  </w:style>
  <w:style w:type="character" w:customStyle="1" w:styleId="43">
    <w:name w:val="批注文字 Char"/>
    <w:link w:val="12"/>
    <w:qFormat/>
    <w:uiPriority w:val="0"/>
    <w:rPr>
      <w:rFonts w:ascii="Times New Roman" w:hAnsi="Times New Roman" w:eastAsia="宋体" w:cs="Times New Roman"/>
      <w:kern w:val="0"/>
      <w:szCs w:val="20"/>
    </w:rPr>
  </w:style>
  <w:style w:type="character" w:customStyle="1" w:styleId="44">
    <w:name w:val="批注主题 Char"/>
    <w:link w:val="26"/>
    <w:qFormat/>
    <w:uiPriority w:val="0"/>
    <w:rPr>
      <w:rFonts w:ascii="Times New Roman" w:hAnsi="Times New Roman" w:eastAsia="宋体" w:cs="Times New Roman"/>
      <w:b/>
      <w:bCs/>
      <w:kern w:val="2"/>
      <w:szCs w:val="24"/>
    </w:rPr>
  </w:style>
  <w:style w:type="character" w:customStyle="1" w:styleId="45">
    <w:name w:val="font101"/>
    <w:qFormat/>
    <w:uiPriority w:val="0"/>
    <w:rPr>
      <w:rFonts w:ascii="宋体" w:hAnsi="宋体" w:eastAsia="宋体" w:cs="宋体"/>
      <w:b/>
      <w:color w:val="000000"/>
      <w:sz w:val="28"/>
      <w:szCs w:val="28"/>
      <w:u w:val="none"/>
    </w:rPr>
  </w:style>
  <w:style w:type="character" w:customStyle="1" w:styleId="46">
    <w:name w:val="font112"/>
    <w:basedOn w:val="30"/>
    <w:qFormat/>
    <w:uiPriority w:val="0"/>
    <w:rPr>
      <w:rFonts w:hint="eastAsia" w:ascii="仿宋" w:hAnsi="仿宋" w:eastAsia="仿宋" w:cs="仿宋"/>
      <w:color w:val="000000"/>
      <w:sz w:val="22"/>
      <w:szCs w:val="22"/>
      <w:u w:val="none"/>
    </w:rPr>
  </w:style>
  <w:style w:type="character" w:customStyle="1" w:styleId="47">
    <w:name w:val="font122"/>
    <w:basedOn w:val="30"/>
    <w:qFormat/>
    <w:uiPriority w:val="0"/>
    <w:rPr>
      <w:rFonts w:hint="eastAsia" w:ascii="仿宋" w:hAnsi="仿宋" w:eastAsia="仿宋" w:cs="仿宋"/>
      <w:color w:val="000000"/>
      <w:sz w:val="22"/>
      <w:szCs w:val="22"/>
      <w:u w:val="none"/>
    </w:rPr>
  </w:style>
  <w:style w:type="character" w:customStyle="1" w:styleId="48">
    <w:name w:val="font61"/>
    <w:basedOn w:val="30"/>
    <w:qFormat/>
    <w:uiPriority w:val="0"/>
    <w:rPr>
      <w:rFonts w:hint="eastAsia" w:ascii="仿宋" w:hAnsi="仿宋" w:eastAsia="仿宋" w:cs="仿宋"/>
      <w:color w:val="000000"/>
      <w:sz w:val="22"/>
      <w:szCs w:val="22"/>
      <w:u w:val="none"/>
    </w:rPr>
  </w:style>
  <w:style w:type="character" w:customStyle="1" w:styleId="49">
    <w:name w:val="font131"/>
    <w:basedOn w:val="30"/>
    <w:qFormat/>
    <w:uiPriority w:val="0"/>
    <w:rPr>
      <w:rFonts w:hint="eastAsia" w:ascii="宋体" w:hAnsi="宋体" w:eastAsia="宋体" w:cs="宋体"/>
      <w:color w:val="000000"/>
      <w:sz w:val="22"/>
      <w:szCs w:val="22"/>
      <w:u w:val="none"/>
    </w:rPr>
  </w:style>
  <w:style w:type="character" w:customStyle="1" w:styleId="50">
    <w:name w:val="font91"/>
    <w:basedOn w:val="30"/>
    <w:qFormat/>
    <w:uiPriority w:val="0"/>
    <w:rPr>
      <w:rFonts w:hint="eastAsia" w:ascii="仿宋" w:hAnsi="仿宋" w:eastAsia="仿宋" w:cs="仿宋"/>
      <w:color w:val="000000"/>
      <w:sz w:val="22"/>
      <w:szCs w:val="22"/>
      <w:u w:val="none"/>
    </w:rPr>
  </w:style>
  <w:style w:type="character" w:customStyle="1" w:styleId="51">
    <w:name w:val="font12"/>
    <w:basedOn w:val="30"/>
    <w:qFormat/>
    <w:uiPriority w:val="0"/>
    <w:rPr>
      <w:rFonts w:hint="eastAsia" w:ascii="仿宋" w:hAnsi="仿宋" w:eastAsia="仿宋" w:cs="仿宋"/>
      <w:color w:val="000000"/>
      <w:sz w:val="20"/>
      <w:szCs w:val="20"/>
      <w:u w:val="none"/>
    </w:rPr>
  </w:style>
  <w:style w:type="character" w:customStyle="1" w:styleId="52">
    <w:name w:val="font71"/>
    <w:basedOn w:val="30"/>
    <w:qFormat/>
    <w:uiPriority w:val="0"/>
    <w:rPr>
      <w:rFonts w:hint="eastAsia" w:ascii="仿宋" w:hAnsi="仿宋" w:eastAsia="仿宋" w:cs="仿宋"/>
      <w:color w:val="000000"/>
      <w:sz w:val="22"/>
      <w:szCs w:val="22"/>
      <w:u w:val="none"/>
    </w:rPr>
  </w:style>
  <w:style w:type="character" w:customStyle="1" w:styleId="53">
    <w:name w:val="font121"/>
    <w:basedOn w:val="30"/>
    <w:qFormat/>
    <w:uiPriority w:val="0"/>
    <w:rPr>
      <w:rFonts w:hint="eastAsia" w:ascii="仿宋" w:hAnsi="仿宋" w:eastAsia="仿宋" w:cs="仿宋"/>
      <w:color w:val="000000"/>
      <w:sz w:val="22"/>
      <w:szCs w:val="22"/>
      <w:u w:val="none"/>
    </w:rPr>
  </w:style>
  <w:style w:type="character" w:customStyle="1" w:styleId="54">
    <w:name w:val="font41"/>
    <w:basedOn w:val="30"/>
    <w:qFormat/>
    <w:uiPriority w:val="0"/>
    <w:rPr>
      <w:rFonts w:hint="eastAsia" w:ascii="仿宋" w:hAnsi="仿宋" w:eastAsia="仿宋" w:cs="仿宋"/>
      <w:color w:val="000000"/>
      <w:sz w:val="32"/>
      <w:szCs w:val="32"/>
      <w:u w:val="none"/>
    </w:rPr>
  </w:style>
  <w:style w:type="character" w:customStyle="1" w:styleId="55">
    <w:name w:val="font13"/>
    <w:basedOn w:val="30"/>
    <w:qFormat/>
    <w:uiPriority w:val="0"/>
    <w:rPr>
      <w:rFonts w:hint="eastAsia" w:ascii="仿宋" w:hAnsi="仿宋" w:eastAsia="仿宋" w:cs="仿宋"/>
      <w:color w:val="000000"/>
      <w:sz w:val="20"/>
      <w:szCs w:val="20"/>
      <w:u w:val="none"/>
    </w:rPr>
  </w:style>
  <w:style w:type="character" w:customStyle="1" w:styleId="56">
    <w:name w:val="font01"/>
    <w:basedOn w:val="30"/>
    <w:qFormat/>
    <w:uiPriority w:val="0"/>
    <w:rPr>
      <w:rFonts w:hint="eastAsia" w:ascii="宋体" w:hAnsi="宋体" w:eastAsia="宋体" w:cs="宋体"/>
      <w:color w:val="000000"/>
      <w:sz w:val="24"/>
      <w:szCs w:val="24"/>
      <w:u w:val="none"/>
    </w:rPr>
  </w:style>
  <w:style w:type="character" w:customStyle="1" w:styleId="57">
    <w:name w:val="font151"/>
    <w:basedOn w:val="30"/>
    <w:qFormat/>
    <w:uiPriority w:val="0"/>
    <w:rPr>
      <w:rFonts w:hint="eastAsia" w:ascii="宋体" w:hAnsi="宋体" w:eastAsia="宋体" w:cs="宋体"/>
      <w:color w:val="000000"/>
      <w:sz w:val="22"/>
      <w:szCs w:val="22"/>
      <w:u w:val="none"/>
    </w:rPr>
  </w:style>
  <w:style w:type="character" w:customStyle="1" w:styleId="58">
    <w:name w:val="font11"/>
    <w:basedOn w:val="30"/>
    <w:qFormat/>
    <w:uiPriority w:val="0"/>
    <w:rPr>
      <w:rFonts w:hint="eastAsia" w:ascii="宋体" w:hAnsi="宋体" w:eastAsia="宋体" w:cs="宋体"/>
      <w:color w:val="000000"/>
      <w:sz w:val="22"/>
      <w:szCs w:val="22"/>
      <w:u w:val="none"/>
    </w:rPr>
  </w:style>
  <w:style w:type="character" w:customStyle="1" w:styleId="59">
    <w:name w:val="font132"/>
    <w:basedOn w:val="30"/>
    <w:qFormat/>
    <w:uiPriority w:val="0"/>
    <w:rPr>
      <w:rFonts w:hint="eastAsia" w:ascii="宋体" w:hAnsi="宋体" w:eastAsia="宋体" w:cs="宋体"/>
      <w:color w:val="000000"/>
      <w:sz w:val="22"/>
      <w:szCs w:val="22"/>
      <w:u w:val="none"/>
    </w:rPr>
  </w:style>
  <w:style w:type="character" w:customStyle="1" w:styleId="60">
    <w:name w:val="font181"/>
    <w:basedOn w:val="30"/>
    <w:qFormat/>
    <w:uiPriority w:val="0"/>
    <w:rPr>
      <w:rFonts w:hint="eastAsia" w:ascii="宋体" w:hAnsi="宋体" w:eastAsia="宋体" w:cs="宋体"/>
      <w:color w:val="000000"/>
      <w:sz w:val="22"/>
      <w:szCs w:val="22"/>
      <w:u w:val="none"/>
    </w:rPr>
  </w:style>
  <w:style w:type="character" w:customStyle="1" w:styleId="61">
    <w:name w:val="font21"/>
    <w:basedOn w:val="30"/>
    <w:qFormat/>
    <w:uiPriority w:val="0"/>
    <w:rPr>
      <w:rFonts w:hint="eastAsia" w:ascii="宋体" w:hAnsi="宋体" w:eastAsia="宋体" w:cs="宋体"/>
      <w:color w:val="000000"/>
      <w:sz w:val="22"/>
      <w:szCs w:val="22"/>
      <w:u w:val="none"/>
    </w:rPr>
  </w:style>
  <w:style w:type="character" w:customStyle="1" w:styleId="62">
    <w:name w:val="font51"/>
    <w:basedOn w:val="30"/>
    <w:qFormat/>
    <w:uiPriority w:val="0"/>
    <w:rPr>
      <w:rFonts w:hint="eastAsia" w:ascii="宋体" w:hAnsi="宋体" w:eastAsia="宋体" w:cs="宋体"/>
      <w:color w:val="000000"/>
      <w:sz w:val="22"/>
      <w:szCs w:val="22"/>
      <w:u w:val="none"/>
    </w:rPr>
  </w:style>
  <w:style w:type="character" w:customStyle="1" w:styleId="63">
    <w:name w:val="font31"/>
    <w:basedOn w:val="30"/>
    <w:qFormat/>
    <w:uiPriority w:val="0"/>
    <w:rPr>
      <w:rFonts w:hint="eastAsia" w:ascii="宋体" w:hAnsi="宋体" w:eastAsia="宋体" w:cs="宋体"/>
      <w:color w:val="000000"/>
      <w:sz w:val="18"/>
      <w:szCs w:val="18"/>
      <w:u w:val="none"/>
    </w:rPr>
  </w:style>
  <w:style w:type="character" w:customStyle="1" w:styleId="64">
    <w:name w:val="font191"/>
    <w:basedOn w:val="30"/>
    <w:qFormat/>
    <w:uiPriority w:val="0"/>
    <w:rPr>
      <w:rFonts w:hint="eastAsia" w:ascii="宋体" w:hAnsi="宋体" w:eastAsia="宋体" w:cs="宋体"/>
      <w:color w:val="000000"/>
      <w:sz w:val="20"/>
      <w:szCs w:val="20"/>
      <w:u w:val="none"/>
    </w:rPr>
  </w:style>
  <w:style w:type="character" w:customStyle="1" w:styleId="65">
    <w:name w:val="font111"/>
    <w:basedOn w:val="30"/>
    <w:qFormat/>
    <w:uiPriority w:val="0"/>
    <w:rPr>
      <w:rFonts w:hint="eastAsia" w:ascii="仿宋" w:hAnsi="仿宋" w:eastAsia="仿宋" w:cs="仿宋"/>
      <w:color w:val="000000"/>
      <w:sz w:val="22"/>
      <w:szCs w:val="22"/>
      <w:u w:val="none"/>
    </w:rPr>
  </w:style>
  <w:style w:type="character" w:customStyle="1" w:styleId="66">
    <w:name w:val="font81"/>
    <w:basedOn w:val="30"/>
    <w:qFormat/>
    <w:uiPriority w:val="0"/>
    <w:rPr>
      <w:rFonts w:ascii="Arial" w:hAnsi="Arial" w:eastAsia="宋体" w:cs="Arial"/>
      <w:color w:val="000000"/>
      <w:sz w:val="22"/>
      <w:szCs w:val="22"/>
      <w:u w:val="none"/>
    </w:rPr>
  </w:style>
  <w:style w:type="character" w:customStyle="1" w:styleId="67">
    <w:name w:val="font141"/>
    <w:basedOn w:val="30"/>
    <w:qFormat/>
    <w:uiPriority w:val="0"/>
    <w:rPr>
      <w:rFonts w:hint="eastAsia" w:ascii="仿宋" w:hAnsi="仿宋" w:eastAsia="仿宋" w:cs="仿宋"/>
      <w:color w:val="000000"/>
      <w:sz w:val="22"/>
      <w:szCs w:val="22"/>
      <w:u w:val="none"/>
    </w:rPr>
  </w:style>
  <w:style w:type="character" w:customStyle="1" w:styleId="68">
    <w:name w:val="font161"/>
    <w:basedOn w:val="30"/>
    <w:qFormat/>
    <w:uiPriority w:val="0"/>
    <w:rPr>
      <w:rFonts w:hint="eastAsia" w:ascii="宋体" w:hAnsi="宋体" w:eastAsia="宋体" w:cs="宋体"/>
      <w:color w:val="000000"/>
      <w:sz w:val="22"/>
      <w:szCs w:val="22"/>
      <w:u w:val="none"/>
    </w:rPr>
  </w:style>
  <w:style w:type="character" w:customStyle="1" w:styleId="69">
    <w:name w:val="font171"/>
    <w:basedOn w:val="30"/>
    <w:qFormat/>
    <w:uiPriority w:val="0"/>
    <w:rPr>
      <w:rFonts w:hint="eastAsia" w:ascii="宋体" w:hAnsi="宋体" w:eastAsia="宋体" w:cs="宋体"/>
      <w:color w:val="000000"/>
      <w:sz w:val="22"/>
      <w:szCs w:val="22"/>
      <w:u w:val="none"/>
    </w:rPr>
  </w:style>
  <w:style w:type="paragraph" w:customStyle="1" w:styleId="70">
    <w:name w:val="NormalIndent"/>
    <w:basedOn w:val="1"/>
    <w:qFormat/>
    <w:uiPriority w:val="0"/>
    <w:pPr>
      <w:ind w:firstLine="420"/>
    </w:pPr>
  </w:style>
  <w:style w:type="paragraph" w:customStyle="1" w:styleId="71">
    <w:name w:val="_Style 7"/>
    <w:basedOn w:val="1"/>
    <w:qFormat/>
    <w:uiPriority w:val="0"/>
    <w:pPr>
      <w:ind w:firstLine="420" w:firstLineChars="200"/>
    </w:pPr>
    <w:rPr>
      <w:rFonts w:ascii="Calibri" w:hAnsi="Calibri"/>
    </w:rPr>
  </w:style>
  <w:style w:type="paragraph" w:customStyle="1" w:styleId="72">
    <w:name w:val="??"/>
    <w:qFormat/>
    <w:uiPriority w:val="0"/>
    <w:pPr>
      <w:widowControl w:val="0"/>
      <w:overflowPunct w:val="0"/>
      <w:autoSpaceDE w:val="0"/>
      <w:autoSpaceDN w:val="0"/>
      <w:adjustRightInd w:val="0"/>
      <w:textAlignment w:val="baseline"/>
    </w:pPr>
    <w:rPr>
      <w:rFonts w:ascii="Arial" w:hAnsi="Arial" w:eastAsia="PMingLiU" w:cs="Times New Roman"/>
      <w:lang w:val="en-US" w:eastAsia="zh-TW" w:bidi="ar-SA"/>
    </w:rPr>
  </w:style>
  <w:style w:type="paragraph" w:customStyle="1" w:styleId="73">
    <w:name w:val="样式 标题 2 + 仿宋_GB2312 黑色"/>
    <w:basedOn w:val="5"/>
    <w:qFormat/>
    <w:uiPriority w:val="0"/>
    <w:pPr>
      <w:jc w:val="center"/>
    </w:pPr>
    <w:rPr>
      <w:rFonts w:ascii="仿宋_GB2312" w:hAnsi="仿宋_GB2312" w:eastAsia="仿宋_GB2312"/>
      <w:color w:val="000000"/>
    </w:rPr>
  </w:style>
  <w:style w:type="paragraph" w:customStyle="1" w:styleId="74">
    <w:name w:val="（标题二）"/>
    <w:basedOn w:val="5"/>
    <w:next w:val="1"/>
    <w:qFormat/>
    <w:uiPriority w:val="0"/>
    <w:pPr>
      <w:tabs>
        <w:tab w:val="left" w:pos="1680"/>
      </w:tabs>
      <w:ind w:left="1680" w:hanging="420"/>
    </w:pPr>
    <w:rPr>
      <w:sz w:val="36"/>
    </w:rPr>
  </w:style>
  <w:style w:type="paragraph" w:customStyle="1" w:styleId="75">
    <w:name w:val="Blockquote"/>
    <w:basedOn w:val="1"/>
    <w:qFormat/>
    <w:uiPriority w:val="0"/>
    <w:pPr>
      <w:autoSpaceDE w:val="0"/>
      <w:autoSpaceDN w:val="0"/>
      <w:adjustRightInd w:val="0"/>
      <w:spacing w:before="100" w:after="100"/>
      <w:ind w:left="360" w:right="360"/>
      <w:jc w:val="left"/>
    </w:pPr>
    <w:rPr>
      <w:kern w:val="0"/>
      <w:sz w:val="24"/>
    </w:rPr>
  </w:style>
  <w:style w:type="paragraph" w:styleId="76">
    <w:name w:val="List Paragraph"/>
    <w:basedOn w:val="1"/>
    <w:qFormat/>
    <w:uiPriority w:val="34"/>
    <w:pPr>
      <w:ind w:firstLine="420" w:firstLineChars="200"/>
    </w:pPr>
  </w:style>
  <w:style w:type="paragraph" w:customStyle="1" w:styleId="77">
    <w:name w:val="WPSOffice手动目录 1"/>
    <w:qFormat/>
    <w:uiPriority w:val="0"/>
    <w:rPr>
      <w:rFonts w:ascii="Times New Roman" w:hAnsi="Times New Roman" w:eastAsia="宋体" w:cs="Times New Roman"/>
      <w:lang w:val="en-US" w:eastAsia="zh-CN" w:bidi="ar-SA"/>
    </w:rPr>
  </w:style>
  <w:style w:type="paragraph" w:customStyle="1" w:styleId="78">
    <w:name w:val="Body Text_0"/>
    <w:basedOn w:val="79"/>
    <w:qFormat/>
    <w:uiPriority w:val="0"/>
    <w:pPr>
      <w:spacing w:after="120"/>
    </w:pPr>
    <w:rPr>
      <w:sz w:val="30"/>
    </w:rPr>
  </w:style>
  <w:style w:type="paragraph" w:customStyle="1" w:styleId="79">
    <w:name w:val="Normal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0">
    <w:name w:val="p2"/>
    <w:basedOn w:val="1"/>
    <w:qFormat/>
    <w:uiPriority w:val="0"/>
    <w:pPr>
      <w:spacing w:line="480" w:lineRule="auto"/>
      <w:ind w:firstLine="420"/>
    </w:pPr>
    <w:rPr>
      <w:rFonts w:ascii="宋体" w:hAnsi="宋体" w:cs="宋体"/>
      <w:szCs w:val="21"/>
    </w:rPr>
  </w:style>
  <w:style w:type="paragraph" w:customStyle="1" w:styleId="8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Footer_0"/>
    <w:basedOn w:val="79"/>
    <w:qFormat/>
    <w:uiPriority w:val="0"/>
    <w:pPr>
      <w:tabs>
        <w:tab w:val="center" w:pos="4153"/>
        <w:tab w:val="right" w:pos="8306"/>
      </w:tabs>
      <w:snapToGrid w:val="0"/>
      <w:jc w:val="left"/>
    </w:pPr>
    <w:rPr>
      <w:sz w:val="18"/>
    </w:rPr>
  </w:style>
  <w:style w:type="paragraph" w:customStyle="1" w:styleId="84">
    <w:name w:val="Comment Text_0"/>
    <w:basedOn w:val="79"/>
    <w:qFormat/>
    <w:uiPriority w:val="0"/>
    <w:pPr>
      <w:adjustRightInd w:val="0"/>
      <w:spacing w:line="360" w:lineRule="atLeast"/>
      <w:jc w:val="left"/>
      <w:textAlignment w:val="baseline"/>
    </w:pPr>
    <w:rPr>
      <w:kern w:val="0"/>
      <w:sz w:val="24"/>
    </w:rPr>
  </w:style>
  <w:style w:type="paragraph" w:customStyle="1" w:styleId="85">
    <w:name w:val="样式 三号"/>
    <w:qFormat/>
    <w:uiPriority w:val="0"/>
    <w:pPr>
      <w:widowControl w:val="0"/>
      <w:jc w:val="both"/>
    </w:pPr>
    <w:rPr>
      <w:rFonts w:ascii="仿宋_GB2312" w:hAnsi="Times New Roman" w:eastAsia="仿宋_GB2312" w:cs="Times New Roman"/>
      <w:kern w:val="2"/>
      <w:sz w:val="32"/>
      <w:lang w:val="en-US" w:eastAsia="zh-CN" w:bidi="ar-SA"/>
    </w:rPr>
  </w:style>
  <w:style w:type="paragraph" w:customStyle="1" w:styleId="86">
    <w:name w:val="Heading 4_0"/>
    <w:basedOn w:val="79"/>
    <w:next w:val="79"/>
    <w:qFormat/>
    <w:uiPriority w:val="0"/>
    <w:pPr>
      <w:keepNext/>
      <w:keepLines/>
      <w:spacing w:before="280" w:after="290" w:line="372" w:lineRule="auto"/>
      <w:outlineLvl w:val="3"/>
    </w:pPr>
    <w:rPr>
      <w:rFonts w:ascii="Arial" w:hAnsi="Arial" w:eastAsia="黑体"/>
      <w:b/>
      <w:sz w:val="28"/>
    </w:rPr>
  </w:style>
  <w:style w:type="paragraph" w:customStyle="1" w:styleId="87">
    <w:name w:val="p0"/>
    <w:basedOn w:val="1"/>
    <w:qFormat/>
    <w:uiPriority w:val="0"/>
    <w:pPr>
      <w:widowControl/>
      <w:ind w:firstLine="420"/>
    </w:pPr>
  </w:style>
  <w:style w:type="character" w:customStyle="1" w:styleId="88">
    <w:name w:val="texthight1"/>
    <w:basedOn w:val="30"/>
    <w:qFormat/>
    <w:uiPriority w:val="99"/>
  </w:style>
  <w:style w:type="paragraph" w:customStyle="1" w:styleId="89">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yitc</Company>
  <Pages>3</Pages>
  <Words>2729</Words>
  <Characters>2787</Characters>
  <Lines>22</Lines>
  <Paragraphs>6</Paragraphs>
  <TotalTime>1</TotalTime>
  <ScaleCrop>false</ScaleCrop>
  <LinksUpToDate>false</LinksUpToDate>
  <CharactersWithSpaces>2790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2026-05-07T08:14:00Z</dcterms:created>
  <dc:creator>。习惯性。</dc:creator>
  <cp:lastModifiedBy>弥猫深巷。</cp:lastModifiedBy>
  <cp:lastPrinted>2022-07-19T03:55:00Z</cp:lastPrinted>
  <dcterms:modified xsi:type="dcterms:W3CDTF">2026-05-09T08:28:05Z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2B9D6188BC584603B8B7EB94D4AC3534_13</vt:lpwstr>
  </property>
  <property fmtid="{D5CDD505-2E9C-101B-9397-08002B2CF9AE}" pid="3" name="KSOProductBuildVer">
    <vt:lpwstr>2052-12.1.0.25865</vt:lpwstr>
  </property>
  <property fmtid="{D5CDD505-2E9C-101B-9397-08002B2CF9AE}" pid="4" name="KSOTemplateDocerSaveRecord">
    <vt:lpwstr>eyJoZGlkIjoiMGFmMjYyMjQxY2U3YTg1ZWYwNTA3ZDViMTM2MjEyNGUiLCJ1c2VySWQiOiIxMDMzMjQyMjE4In0=</vt:lpwstr>
  </property>
</Properties>
</file>